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FBEC6" w14:textId="72F65466" w:rsidR="008706E1" w:rsidRPr="008706E1" w:rsidRDefault="008706E1" w:rsidP="008706E1">
      <w:pPr>
        <w:spacing w:after="0" w:line="240" w:lineRule="auto"/>
        <w:jc w:val="center"/>
        <w:rPr>
          <w:rFonts w:ascii="Calibri" w:eastAsia="Calibri" w:hAnsi="Calibri" w:cs="Times New Roman"/>
          <w:b/>
          <w:color w:val="0000CC"/>
          <w:sz w:val="48"/>
          <w:szCs w:val="48"/>
        </w:rPr>
      </w:pPr>
      <w:bookmarkStart w:id="0" w:name="_GoBack"/>
      <w:bookmarkEnd w:id="0"/>
      <w:r>
        <w:rPr>
          <w:rFonts w:ascii="Calibri" w:eastAsia="Calibri" w:hAnsi="Calibri" w:cs="Times New Roman"/>
          <w:b/>
          <w:color w:val="0000CC"/>
          <w:sz w:val="48"/>
          <w:szCs w:val="48"/>
        </w:rPr>
        <w:t xml:space="preserve">INDICATORS </w:t>
      </w:r>
      <w:r w:rsidR="006543F4">
        <w:rPr>
          <w:rFonts w:ascii="Calibri" w:eastAsia="Calibri" w:hAnsi="Calibri" w:cs="Times New Roman"/>
          <w:b/>
          <w:color w:val="0000CC"/>
          <w:sz w:val="48"/>
          <w:szCs w:val="48"/>
        </w:rPr>
        <w:t>OF</w:t>
      </w:r>
      <w:r>
        <w:rPr>
          <w:rFonts w:ascii="Calibri" w:eastAsia="Calibri" w:hAnsi="Calibri" w:cs="Times New Roman"/>
          <w:b/>
          <w:color w:val="0000CC"/>
          <w:sz w:val="48"/>
          <w:szCs w:val="48"/>
        </w:rPr>
        <w:t xml:space="preserve"> SUSTAINABLE AGRICULTURE</w:t>
      </w:r>
      <w:r w:rsidR="006543F4">
        <w:rPr>
          <w:rFonts w:ascii="Calibri" w:eastAsia="Calibri" w:hAnsi="Calibri" w:cs="Times New Roman"/>
          <w:b/>
          <w:color w:val="0000CC"/>
          <w:sz w:val="48"/>
          <w:szCs w:val="48"/>
        </w:rPr>
        <w:t>:</w:t>
      </w:r>
      <w:r w:rsidRPr="008706E1">
        <w:rPr>
          <w:rFonts w:ascii="Calibri" w:eastAsia="Calibri" w:hAnsi="Calibri" w:cs="Times New Roman"/>
          <w:b/>
          <w:color w:val="0000CC"/>
          <w:sz w:val="48"/>
          <w:szCs w:val="48"/>
        </w:rPr>
        <w:t xml:space="preserve"> </w:t>
      </w:r>
    </w:p>
    <w:p w14:paraId="24052108" w14:textId="77777777" w:rsidR="006543F4" w:rsidRPr="008706E1" w:rsidRDefault="006543F4" w:rsidP="008706E1">
      <w:pPr>
        <w:spacing w:after="0" w:line="240" w:lineRule="auto"/>
        <w:jc w:val="center"/>
        <w:rPr>
          <w:rFonts w:ascii="Calibri" w:eastAsia="Calibri" w:hAnsi="Calibri" w:cs="Times New Roman"/>
          <w:b/>
          <w:color w:val="0000CC"/>
          <w:sz w:val="48"/>
          <w:szCs w:val="48"/>
        </w:rPr>
      </w:pPr>
      <w:r>
        <w:rPr>
          <w:rFonts w:ascii="Calibri" w:eastAsia="Calibri" w:hAnsi="Calibri" w:cs="Times New Roman"/>
          <w:b/>
          <w:color w:val="0000CC"/>
          <w:sz w:val="48"/>
          <w:szCs w:val="48"/>
        </w:rPr>
        <w:t>A SCOPING ANALYSIS</w:t>
      </w:r>
    </w:p>
    <w:p w14:paraId="226657FF" w14:textId="77777777" w:rsidR="008706E1" w:rsidRPr="008706E1" w:rsidRDefault="008706E1" w:rsidP="008706E1">
      <w:pPr>
        <w:spacing w:after="0" w:line="240" w:lineRule="auto"/>
        <w:jc w:val="center"/>
        <w:rPr>
          <w:rFonts w:ascii="Calibri" w:eastAsia="Calibri" w:hAnsi="Calibri" w:cs="Times New Roman"/>
          <w:b/>
          <w:color w:val="0000CC"/>
          <w:sz w:val="28"/>
          <w:szCs w:val="28"/>
        </w:rPr>
      </w:pPr>
    </w:p>
    <w:p w14:paraId="4B4A8F9A" w14:textId="77777777" w:rsidR="008706E1" w:rsidRPr="008706E1" w:rsidRDefault="008706E1" w:rsidP="008706E1">
      <w:pPr>
        <w:spacing w:after="0" w:line="240" w:lineRule="auto"/>
        <w:rPr>
          <w:rFonts w:ascii="Calibri" w:eastAsia="Calibri" w:hAnsi="Calibri" w:cs="Times New Roman"/>
          <w:sz w:val="24"/>
          <w:szCs w:val="24"/>
        </w:rPr>
      </w:pPr>
    </w:p>
    <w:p w14:paraId="0673E91B" w14:textId="77777777" w:rsidR="008706E1" w:rsidRPr="008706E1" w:rsidRDefault="008706E1" w:rsidP="008706E1">
      <w:pPr>
        <w:spacing w:after="0" w:line="240" w:lineRule="auto"/>
        <w:rPr>
          <w:rFonts w:ascii="Calibri" w:eastAsia="Calibri" w:hAnsi="Calibri" w:cs="Times New Roman"/>
          <w:sz w:val="24"/>
          <w:szCs w:val="24"/>
        </w:rPr>
      </w:pPr>
    </w:p>
    <w:p w14:paraId="27C26257" w14:textId="77777777" w:rsidR="008706E1" w:rsidRPr="008706E1" w:rsidRDefault="008706E1" w:rsidP="008706E1">
      <w:pPr>
        <w:spacing w:after="0" w:line="240" w:lineRule="auto"/>
        <w:rPr>
          <w:rFonts w:ascii="Calibri" w:eastAsia="Calibri" w:hAnsi="Calibri" w:cs="Times New Roman"/>
          <w:sz w:val="24"/>
          <w:szCs w:val="24"/>
        </w:rPr>
      </w:pPr>
    </w:p>
    <w:p w14:paraId="6743598D" w14:textId="77777777" w:rsidR="008706E1" w:rsidRPr="008706E1" w:rsidRDefault="008706E1" w:rsidP="008706E1">
      <w:pPr>
        <w:spacing w:after="0" w:line="240" w:lineRule="auto"/>
        <w:jc w:val="center"/>
        <w:rPr>
          <w:rFonts w:ascii="Calibri" w:eastAsia="Calibri" w:hAnsi="Calibri" w:cs="Times New Roman"/>
          <w:sz w:val="24"/>
          <w:szCs w:val="24"/>
        </w:rPr>
      </w:pPr>
      <w:r w:rsidRPr="008706E1">
        <w:rPr>
          <w:rFonts w:ascii="Calibri" w:eastAsia="Calibri" w:hAnsi="Calibri" w:cs="Times New Roman"/>
          <w:noProof/>
        </w:rPr>
        <w:t xml:space="preserve"> </w:t>
      </w:r>
    </w:p>
    <w:p w14:paraId="1DCF6E09" w14:textId="77777777" w:rsidR="008706E1" w:rsidRPr="008706E1" w:rsidRDefault="008706E1" w:rsidP="008706E1">
      <w:pPr>
        <w:spacing w:after="0" w:line="240" w:lineRule="auto"/>
        <w:rPr>
          <w:rFonts w:ascii="Calibri" w:eastAsia="Calibri" w:hAnsi="Calibri" w:cs="Times New Roman"/>
          <w:b/>
          <w:sz w:val="24"/>
          <w:szCs w:val="24"/>
          <w:highlight w:val="yellow"/>
        </w:rPr>
      </w:pPr>
    </w:p>
    <w:p w14:paraId="39BD13C1" w14:textId="77777777" w:rsidR="008706E1" w:rsidRPr="008706E1" w:rsidRDefault="008706E1" w:rsidP="008706E1">
      <w:pPr>
        <w:spacing w:after="0" w:line="240" w:lineRule="auto"/>
        <w:rPr>
          <w:rFonts w:ascii="Calibri" w:eastAsia="Calibri" w:hAnsi="Calibri" w:cs="Times New Roman"/>
          <w:sz w:val="24"/>
          <w:szCs w:val="24"/>
        </w:rPr>
      </w:pPr>
    </w:p>
    <w:p w14:paraId="25ABADB4" w14:textId="77777777" w:rsidR="008706E1" w:rsidRPr="008706E1" w:rsidRDefault="008706E1" w:rsidP="008706E1">
      <w:pPr>
        <w:spacing w:after="0" w:line="240" w:lineRule="auto"/>
        <w:jc w:val="center"/>
        <w:rPr>
          <w:rFonts w:ascii="Calibri" w:eastAsia="Calibri" w:hAnsi="Calibri" w:cs="Times New Roman"/>
          <w:b/>
          <w:sz w:val="30"/>
          <w:szCs w:val="30"/>
        </w:rPr>
      </w:pPr>
    </w:p>
    <w:p w14:paraId="46339D05" w14:textId="77777777" w:rsidR="008706E1" w:rsidRPr="008706E1" w:rsidRDefault="008706E1" w:rsidP="008706E1">
      <w:pPr>
        <w:spacing w:after="0" w:line="240" w:lineRule="auto"/>
        <w:rPr>
          <w:rFonts w:ascii="Calibri" w:eastAsia="Calibri" w:hAnsi="Calibri" w:cs="Times New Roman"/>
          <w:b/>
          <w:sz w:val="24"/>
          <w:szCs w:val="24"/>
          <w:highlight w:val="yellow"/>
        </w:rPr>
      </w:pPr>
    </w:p>
    <w:p w14:paraId="451B9F5C" w14:textId="77777777" w:rsidR="008706E1" w:rsidRPr="008706E1" w:rsidRDefault="008706E1" w:rsidP="008706E1">
      <w:pPr>
        <w:spacing w:after="0" w:line="240" w:lineRule="auto"/>
        <w:rPr>
          <w:rFonts w:ascii="Calibri" w:eastAsia="Calibri" w:hAnsi="Calibri" w:cs="Times New Roman"/>
          <w:b/>
          <w:i/>
          <w:sz w:val="30"/>
          <w:szCs w:val="30"/>
        </w:rPr>
      </w:pPr>
    </w:p>
    <w:p w14:paraId="4FBD5E65" w14:textId="1EA41D90" w:rsidR="008706E1" w:rsidRPr="008706E1" w:rsidRDefault="008706E1" w:rsidP="008706E1">
      <w:pPr>
        <w:spacing w:after="0" w:line="240" w:lineRule="auto"/>
        <w:jc w:val="center"/>
        <w:rPr>
          <w:rFonts w:ascii="Calibri" w:eastAsia="Calibri" w:hAnsi="Calibri" w:cs="Times New Roman"/>
          <w:b/>
          <w:sz w:val="32"/>
          <w:szCs w:val="32"/>
          <w:highlight w:val="yellow"/>
        </w:rPr>
      </w:pPr>
      <w:r w:rsidRPr="008706E1">
        <w:rPr>
          <w:rFonts w:ascii="Calibri" w:eastAsia="Calibri" w:hAnsi="Calibri" w:cs="Times New Roman"/>
          <w:b/>
          <w:sz w:val="32"/>
          <w:szCs w:val="32"/>
        </w:rPr>
        <w:t xml:space="preserve">Installment </w:t>
      </w:r>
      <w:r w:rsidR="00890365">
        <w:rPr>
          <w:rFonts w:ascii="Calibri" w:eastAsia="Calibri" w:hAnsi="Calibri" w:cs="Times New Roman"/>
          <w:b/>
          <w:sz w:val="32"/>
          <w:szCs w:val="32"/>
        </w:rPr>
        <w:t>8</w:t>
      </w:r>
      <w:r w:rsidRPr="008706E1">
        <w:rPr>
          <w:rFonts w:ascii="Calibri" w:eastAsia="Calibri" w:hAnsi="Calibri" w:cs="Times New Roman"/>
          <w:b/>
          <w:sz w:val="32"/>
          <w:szCs w:val="32"/>
        </w:rPr>
        <w:t xml:space="preserve"> of “Creating a Sustainable Food Future”</w:t>
      </w:r>
    </w:p>
    <w:p w14:paraId="2EDB1798" w14:textId="77777777" w:rsidR="008706E1" w:rsidRPr="008706E1" w:rsidRDefault="008706E1" w:rsidP="008706E1">
      <w:pPr>
        <w:spacing w:after="0" w:line="240" w:lineRule="auto"/>
        <w:rPr>
          <w:rFonts w:ascii="Calibri" w:eastAsia="Calibri" w:hAnsi="Calibri" w:cs="Times New Roman"/>
          <w:b/>
          <w:sz w:val="24"/>
          <w:szCs w:val="24"/>
          <w:highlight w:val="yellow"/>
        </w:rPr>
      </w:pPr>
    </w:p>
    <w:p w14:paraId="2624DFF6" w14:textId="77777777" w:rsidR="008706E1" w:rsidRPr="008706E1" w:rsidRDefault="008706E1" w:rsidP="008706E1">
      <w:pPr>
        <w:spacing w:after="0" w:line="240" w:lineRule="auto"/>
        <w:jc w:val="center"/>
        <w:rPr>
          <w:rFonts w:ascii="Calibri" w:eastAsia="Calibri" w:hAnsi="Calibri" w:cs="Times New Roman"/>
          <w:b/>
          <w:sz w:val="28"/>
          <w:szCs w:val="28"/>
        </w:rPr>
      </w:pPr>
      <w:r w:rsidRPr="008706E1">
        <w:rPr>
          <w:rFonts w:ascii="Calibri" w:eastAsia="Calibri" w:hAnsi="Calibri" w:cs="Times New Roman"/>
          <w:b/>
          <w:sz w:val="28"/>
          <w:szCs w:val="28"/>
        </w:rPr>
        <w:t>A working paper for the World Resources Report:  2013-14</w:t>
      </w:r>
    </w:p>
    <w:p w14:paraId="6FB0AD9E" w14:textId="77777777" w:rsidR="008706E1" w:rsidRPr="008706E1" w:rsidRDefault="008706E1" w:rsidP="008706E1">
      <w:pPr>
        <w:spacing w:after="0" w:line="240" w:lineRule="auto"/>
        <w:jc w:val="center"/>
        <w:rPr>
          <w:rFonts w:ascii="Calibri" w:eastAsia="Calibri" w:hAnsi="Calibri" w:cs="Times New Roman"/>
          <w:b/>
          <w:sz w:val="28"/>
          <w:szCs w:val="28"/>
        </w:rPr>
      </w:pPr>
    </w:p>
    <w:p w14:paraId="68016AA6" w14:textId="77777777" w:rsidR="008706E1" w:rsidRPr="008706E1" w:rsidRDefault="008706E1" w:rsidP="008706E1">
      <w:pPr>
        <w:spacing w:after="0" w:line="240" w:lineRule="auto"/>
        <w:jc w:val="center"/>
        <w:rPr>
          <w:rFonts w:ascii="Calibri" w:eastAsia="Calibri" w:hAnsi="Calibri" w:cs="Times New Roman"/>
          <w:b/>
          <w:sz w:val="28"/>
          <w:szCs w:val="28"/>
        </w:rPr>
      </w:pPr>
    </w:p>
    <w:p w14:paraId="196563DC" w14:textId="77777777" w:rsidR="008706E1" w:rsidRPr="008706E1" w:rsidRDefault="008706E1" w:rsidP="008706E1">
      <w:pPr>
        <w:spacing w:after="0" w:line="240" w:lineRule="auto"/>
        <w:jc w:val="center"/>
        <w:rPr>
          <w:rFonts w:ascii="Calibri" w:eastAsia="Calibri" w:hAnsi="Calibri" w:cs="Times New Roman"/>
          <w:b/>
          <w:sz w:val="28"/>
          <w:szCs w:val="28"/>
        </w:rPr>
      </w:pPr>
    </w:p>
    <w:p w14:paraId="61B4A492" w14:textId="77777777" w:rsidR="008706E1" w:rsidRPr="008706E1" w:rsidRDefault="008706E1" w:rsidP="008706E1">
      <w:pPr>
        <w:spacing w:after="0" w:line="240" w:lineRule="auto"/>
        <w:jc w:val="center"/>
        <w:rPr>
          <w:rFonts w:ascii="Calibri" w:eastAsia="Calibri" w:hAnsi="Calibri" w:cs="Times New Roman"/>
          <w:b/>
          <w:sz w:val="28"/>
          <w:szCs w:val="28"/>
        </w:rPr>
      </w:pPr>
    </w:p>
    <w:p w14:paraId="6A1A50F9" w14:textId="77777777" w:rsidR="008706E1" w:rsidRPr="008706E1" w:rsidRDefault="008706E1" w:rsidP="008706E1">
      <w:pPr>
        <w:spacing w:after="0" w:line="240" w:lineRule="auto"/>
        <w:jc w:val="center"/>
        <w:rPr>
          <w:rFonts w:ascii="Calibri" w:eastAsia="Calibri" w:hAnsi="Calibri" w:cs="Times New Roman"/>
          <w:b/>
          <w:sz w:val="28"/>
          <w:szCs w:val="28"/>
        </w:rPr>
      </w:pPr>
    </w:p>
    <w:p w14:paraId="0EA15BCB" w14:textId="77777777" w:rsidR="008706E1" w:rsidRPr="008706E1" w:rsidRDefault="008706E1" w:rsidP="008706E1">
      <w:pPr>
        <w:spacing w:after="0" w:line="240" w:lineRule="auto"/>
        <w:jc w:val="center"/>
        <w:rPr>
          <w:rFonts w:ascii="Calibri" w:eastAsia="Calibri" w:hAnsi="Calibri" w:cs="Times New Roman"/>
          <w:b/>
          <w:sz w:val="28"/>
          <w:szCs w:val="28"/>
        </w:rPr>
      </w:pPr>
    </w:p>
    <w:p w14:paraId="5F4B2D79" w14:textId="77777777" w:rsidR="008706E1" w:rsidRPr="008706E1" w:rsidRDefault="008706E1" w:rsidP="008706E1">
      <w:pPr>
        <w:spacing w:after="0" w:line="240" w:lineRule="auto"/>
        <w:rPr>
          <w:rFonts w:ascii="Calibri" w:eastAsia="Calibri" w:hAnsi="Calibri" w:cs="Times New Roman"/>
          <w:b/>
          <w:sz w:val="28"/>
          <w:szCs w:val="28"/>
        </w:rPr>
      </w:pPr>
      <w:r w:rsidRPr="008706E1">
        <w:rPr>
          <w:rFonts w:ascii="Calibri" w:eastAsia="Calibri" w:hAnsi="Calibri" w:cs="Times New Roman"/>
          <w:b/>
          <w:noProof/>
          <w:sz w:val="28"/>
          <w:szCs w:val="28"/>
          <w:lang w:val="da-DK" w:eastAsia="da-DK"/>
        </w:rPr>
        <mc:AlternateContent>
          <mc:Choice Requires="wps">
            <w:drawing>
              <wp:anchor distT="0" distB="0" distL="114300" distR="114300" simplePos="0" relativeHeight="251662336" behindDoc="0" locked="0" layoutInCell="1" allowOverlap="1" wp14:anchorId="5FD5C53A" wp14:editId="26FC2B0C">
                <wp:simplePos x="0" y="0"/>
                <wp:positionH relativeFrom="column">
                  <wp:posOffset>2838450</wp:posOffset>
                </wp:positionH>
                <wp:positionV relativeFrom="paragraph">
                  <wp:posOffset>3189605</wp:posOffset>
                </wp:positionV>
                <wp:extent cx="304800" cy="2952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04800" cy="2952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23.5pt;margin-top:251.15pt;width:24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" fillcolor="window" strokecolor="window" strokeweight="2pt"/>
            </w:pict>
          </mc:Fallback>
        </mc:AlternateContent>
      </w:r>
      <w:r w:rsidRPr="008706E1">
        <w:rPr>
          <w:rFonts w:ascii="Calibri" w:eastAsia="Calibri" w:hAnsi="Calibri" w:cs="Times New Roman"/>
          <w:b/>
          <w:noProof/>
          <w:sz w:val="28"/>
          <w:szCs w:val="28"/>
          <w:lang w:val="da-DK" w:eastAsia="da-DK"/>
        </w:rPr>
        <mc:AlternateContent>
          <mc:Choice Requires="wps">
            <w:drawing>
              <wp:anchor distT="0" distB="0" distL="114300" distR="114300" simplePos="0" relativeHeight="251661312" behindDoc="0" locked="0" layoutInCell="1" allowOverlap="1" wp14:anchorId="330C3132" wp14:editId="75C809BA">
                <wp:simplePos x="0" y="0"/>
                <wp:positionH relativeFrom="column">
                  <wp:posOffset>2755900</wp:posOffset>
                </wp:positionH>
                <wp:positionV relativeFrom="paragraph">
                  <wp:posOffset>3602355</wp:posOffset>
                </wp:positionV>
                <wp:extent cx="533400" cy="207010"/>
                <wp:effectExtent l="0" t="0" r="0" b="254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07010"/>
                        </a:xfrm>
                        <a:prstGeom prst="rect">
                          <a:avLst/>
                        </a:prstGeom>
                        <a:solidFill>
                          <a:srgbClr val="FFFFFF"/>
                        </a:solidFill>
                        <a:ln w="9525">
                          <a:noFill/>
                          <a:miter lim="800000"/>
                          <a:headEnd/>
                          <a:tailEnd/>
                        </a:ln>
                      </wps:spPr>
                      <wps:txbx>
                        <w:txbxContent>
                          <w:p w14:paraId="4D1F2F65" w14:textId="77777777" w:rsidR="002B5F8D" w:rsidRDefault="002B5F8D" w:rsidP="008706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pt;margin-top:283.65pt;width:42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" stroked="f">
                <v:textbox>
                  <w:txbxContent>
                    <w:p w14:paraId="4D1F2F65" w14:textId="77777777" w:rsidR="002B5F8D" w:rsidRDefault="002B5F8D" w:rsidP="008706E1"/>
                  </w:txbxContent>
                </v:textbox>
              </v:shape>
            </w:pict>
          </mc:Fallback>
        </mc:AlternateContent>
      </w:r>
      <w:r w:rsidRPr="008706E1">
        <w:rPr>
          <w:rFonts w:ascii="Calibri" w:eastAsia="Calibri" w:hAnsi="Calibri" w:cs="Times New Roman"/>
          <w:b/>
          <w:sz w:val="28"/>
          <w:szCs w:val="28"/>
        </w:rPr>
        <w:br w:type="page"/>
      </w:r>
    </w:p>
    <w:p w14:paraId="621C53AC" w14:textId="77777777" w:rsidR="008706E1" w:rsidRPr="008706E1" w:rsidRDefault="008706E1" w:rsidP="008706E1">
      <w:pPr>
        <w:spacing w:after="0" w:line="240" w:lineRule="auto"/>
        <w:rPr>
          <w:rFonts w:ascii="Calibri" w:eastAsia="Cambria" w:hAnsi="Calibri" w:cs="Times New Roman"/>
          <w:b/>
          <w:color w:val="000099"/>
        </w:rPr>
      </w:pPr>
      <w:bookmarkStart w:id="1" w:name="_Toc356838241"/>
      <w:bookmarkStart w:id="2" w:name="_Toc346893291"/>
      <w:r w:rsidRPr="008706E1">
        <w:rPr>
          <w:rFonts w:ascii="Calibri" w:eastAsia="Cambria" w:hAnsi="Calibri" w:cs="Times New Roman"/>
          <w:b/>
          <w:color w:val="000099"/>
        </w:rPr>
        <w:lastRenderedPageBreak/>
        <w:t>AUTHOR</w:t>
      </w:r>
    </w:p>
    <w:p w14:paraId="73C2C9B8" w14:textId="77777777" w:rsidR="008706E1" w:rsidRPr="008706E1" w:rsidRDefault="008706E1" w:rsidP="008706E1">
      <w:pPr>
        <w:spacing w:after="0" w:line="240" w:lineRule="auto"/>
        <w:rPr>
          <w:rFonts w:ascii="Calibri" w:eastAsia="Cambria" w:hAnsi="Calibri" w:cs="Times New Roman"/>
        </w:rPr>
      </w:pPr>
    </w:p>
    <w:p w14:paraId="12C188B0" w14:textId="469465F6" w:rsidR="008706E1" w:rsidRPr="008706E1" w:rsidRDefault="00890365" w:rsidP="008706E1">
      <w:pPr>
        <w:spacing w:after="0" w:line="240" w:lineRule="auto"/>
        <w:rPr>
          <w:rFonts w:ascii="Calibri" w:eastAsia="Cambria" w:hAnsi="Calibri" w:cs="Times New Roman"/>
        </w:rPr>
      </w:pPr>
      <w:r>
        <w:rPr>
          <w:rFonts w:ascii="Calibri" w:eastAsia="Cambria" w:hAnsi="Calibri" w:cs="Times New Roman"/>
        </w:rPr>
        <w:t>Katie Reytar</w:t>
      </w:r>
      <w:r w:rsidR="008706E1" w:rsidRPr="008706E1">
        <w:rPr>
          <w:rFonts w:ascii="Calibri" w:eastAsia="Cambria" w:hAnsi="Calibri" w:cs="Times New Roman"/>
        </w:rPr>
        <w:t xml:space="preserve"> (</w:t>
      </w:r>
      <w:r>
        <w:rPr>
          <w:rFonts w:ascii="Calibri" w:eastAsia="Cambria" w:hAnsi="Calibri" w:cs="Times New Roman"/>
        </w:rPr>
        <w:t>Associate, WRI</w:t>
      </w:r>
      <w:r w:rsidR="008706E1" w:rsidRPr="008706E1">
        <w:rPr>
          <w:rFonts w:ascii="Calibri" w:eastAsia="Cambria" w:hAnsi="Calibri" w:cs="Times New Roman"/>
        </w:rPr>
        <w:t xml:space="preserve">). </w:t>
      </w:r>
    </w:p>
    <w:p w14:paraId="25A5908C" w14:textId="254013AB" w:rsidR="008706E1" w:rsidRPr="008706E1" w:rsidRDefault="008706E1" w:rsidP="008706E1">
      <w:pPr>
        <w:spacing w:after="0" w:line="240" w:lineRule="auto"/>
        <w:rPr>
          <w:rFonts w:ascii="Calibri" w:eastAsia="Cambria" w:hAnsi="Calibri" w:cs="Times New Roman"/>
        </w:rPr>
      </w:pPr>
      <w:r w:rsidRPr="008706E1">
        <w:rPr>
          <w:rFonts w:ascii="Calibri" w:eastAsia="Cambria" w:hAnsi="Calibri" w:cs="Times New Roman"/>
        </w:rPr>
        <w:t xml:space="preserve">Contact: </w:t>
      </w:r>
      <w:hyperlink r:id="rId11" w:history="1">
        <w:r w:rsidR="00890365" w:rsidRPr="000B0836">
          <w:rPr>
            <w:rStyle w:val="Hyperlink"/>
            <w:rFonts w:ascii="Calibri" w:eastAsia="Cambria" w:hAnsi="Calibri" w:cs="Times New Roman"/>
            <w:color w:val="000099"/>
          </w:rPr>
          <w:t>kreytar@wri.org</w:t>
        </w:r>
      </w:hyperlink>
      <w:r w:rsidRPr="000B0836">
        <w:rPr>
          <w:rFonts w:ascii="Calibri" w:eastAsia="Cambria" w:hAnsi="Calibri" w:cs="Times New Roman"/>
          <w:color w:val="000099"/>
        </w:rPr>
        <w:t xml:space="preserve"> </w:t>
      </w:r>
    </w:p>
    <w:p w14:paraId="5BA6FEB5" w14:textId="77777777" w:rsidR="008706E1" w:rsidRPr="008706E1" w:rsidRDefault="008706E1" w:rsidP="008706E1">
      <w:pPr>
        <w:spacing w:after="0" w:line="240" w:lineRule="auto"/>
        <w:rPr>
          <w:rFonts w:ascii="Calibri" w:eastAsia="Cambria" w:hAnsi="Calibri" w:cs="Times New Roman"/>
          <w:b/>
          <w:color w:val="0000CC"/>
        </w:rPr>
      </w:pPr>
    </w:p>
    <w:p w14:paraId="782FE127" w14:textId="77777777" w:rsidR="008706E1" w:rsidRPr="008706E1" w:rsidRDefault="008706E1" w:rsidP="008706E1">
      <w:pPr>
        <w:spacing w:after="0" w:line="240" w:lineRule="auto"/>
        <w:rPr>
          <w:rFonts w:ascii="Calibri" w:eastAsia="Cambria" w:hAnsi="Calibri" w:cs="Times New Roman"/>
        </w:rPr>
      </w:pPr>
    </w:p>
    <w:p w14:paraId="485FC580" w14:textId="77777777" w:rsidR="008706E1" w:rsidRPr="008706E1" w:rsidRDefault="008706E1" w:rsidP="008706E1">
      <w:pPr>
        <w:spacing w:after="0" w:line="240" w:lineRule="auto"/>
        <w:rPr>
          <w:rFonts w:ascii="Calibri" w:eastAsia="Cambria" w:hAnsi="Calibri" w:cs="Times New Roman"/>
          <w:b/>
          <w:color w:val="000099"/>
        </w:rPr>
      </w:pPr>
      <w:r w:rsidRPr="008706E1">
        <w:rPr>
          <w:rFonts w:ascii="Calibri" w:eastAsia="Cambria" w:hAnsi="Calibri" w:cs="Times New Roman"/>
          <w:b/>
          <w:color w:val="000099"/>
        </w:rPr>
        <w:t>ACKNOWLEDGMENTS</w:t>
      </w:r>
    </w:p>
    <w:p w14:paraId="1D28930C" w14:textId="77777777" w:rsidR="008706E1" w:rsidRPr="008706E1" w:rsidRDefault="008706E1" w:rsidP="008706E1">
      <w:pPr>
        <w:spacing w:after="0" w:line="240" w:lineRule="auto"/>
        <w:rPr>
          <w:rFonts w:ascii="Calibri" w:eastAsia="Cambria" w:hAnsi="Calibri" w:cs="Times New Roman"/>
        </w:rPr>
      </w:pPr>
    </w:p>
    <w:p w14:paraId="0B5E69A6" w14:textId="359FB899" w:rsidR="00890365" w:rsidRDefault="008706E1" w:rsidP="00871047">
      <w:pPr>
        <w:spacing w:after="0" w:line="240" w:lineRule="auto"/>
        <w:rPr>
          <w:rFonts w:ascii="Calibri" w:eastAsia="Calibri" w:hAnsi="Calibri" w:cs="Times New Roman"/>
        </w:rPr>
      </w:pPr>
      <w:r w:rsidRPr="008706E1">
        <w:rPr>
          <w:rFonts w:ascii="Calibri" w:eastAsia="Cambria" w:hAnsi="Calibri" w:cs="Times New Roman"/>
        </w:rPr>
        <w:t xml:space="preserve">The authors would like to acknowledge the following individuals for their critical reviews:  </w:t>
      </w:r>
      <w:r w:rsidR="00890365">
        <w:rPr>
          <w:rFonts w:ascii="Calibri" w:eastAsia="Cambria" w:hAnsi="Calibri" w:cs="Times New Roman"/>
        </w:rPr>
        <w:t xml:space="preserve">Lauretta Burke (WRI), Francis Gassert (WRI), </w:t>
      </w:r>
      <w:r w:rsidR="00600272">
        <w:rPr>
          <w:rFonts w:ascii="Calibri" w:eastAsia="Cambria" w:hAnsi="Calibri" w:cs="Times New Roman"/>
        </w:rPr>
        <w:t xml:space="preserve">Craig Hanson (WRI), </w:t>
      </w:r>
      <w:r w:rsidR="00890365" w:rsidRPr="00890365">
        <w:rPr>
          <w:rFonts w:ascii="Calibri" w:eastAsia="Calibri" w:hAnsi="Calibri" w:cs="Times New Roman"/>
        </w:rPr>
        <w:t>Norbert Henninger</w:t>
      </w:r>
      <w:r w:rsidR="00890365">
        <w:rPr>
          <w:rFonts w:ascii="Calibri" w:eastAsia="Cambria" w:hAnsi="Calibri" w:cs="Times New Roman"/>
        </w:rPr>
        <w:t xml:space="preserve"> (WRI), Mike McGahuey (USAID), </w:t>
      </w:r>
      <w:r w:rsidR="00890365">
        <w:rPr>
          <w:rFonts w:ascii="Calibri" w:eastAsia="Calibri" w:hAnsi="Calibri" w:cs="Times New Roman"/>
        </w:rPr>
        <w:t>Lars</w:t>
      </w:r>
      <w:r w:rsidR="00890365" w:rsidRPr="00890365">
        <w:rPr>
          <w:rFonts w:ascii="Calibri" w:eastAsia="Calibri" w:hAnsi="Calibri" w:cs="Times New Roman"/>
        </w:rPr>
        <w:t xml:space="preserve"> Christian Oxe</w:t>
      </w:r>
      <w:r w:rsidR="00890365">
        <w:rPr>
          <w:rFonts w:ascii="Calibri" w:eastAsia="Calibri" w:hAnsi="Calibri" w:cs="Times New Roman"/>
        </w:rPr>
        <w:t xml:space="preserve"> (Danish Ministry of Foreign Affairs), Stephen Russell (WRI), </w:t>
      </w:r>
      <w:r w:rsidR="00E70849">
        <w:rPr>
          <w:rFonts w:ascii="Calibri" w:eastAsia="Calibri" w:hAnsi="Calibri" w:cs="Times New Roman"/>
        </w:rPr>
        <w:t xml:space="preserve">Johann Scharr </w:t>
      </w:r>
      <w:r w:rsidR="00E70849" w:rsidRPr="00E70849">
        <w:rPr>
          <w:rFonts w:ascii="Calibri" w:eastAsia="Calibri" w:hAnsi="Calibri" w:cs="Times New Roman"/>
        </w:rPr>
        <w:t>(WRI)</w:t>
      </w:r>
      <w:r w:rsidR="00E70849">
        <w:rPr>
          <w:rFonts w:ascii="Calibri" w:eastAsia="Calibri" w:hAnsi="Calibri" w:cs="Times New Roman"/>
        </w:rPr>
        <w:t xml:space="preserve">, </w:t>
      </w:r>
      <w:r w:rsidR="00890365">
        <w:rPr>
          <w:rFonts w:ascii="Calibri" w:eastAsia="Calibri" w:hAnsi="Calibri" w:cs="Times New Roman"/>
        </w:rPr>
        <w:t xml:space="preserve">Tim Searchinger (WRI), Richard Waite (WRI), </w:t>
      </w:r>
      <w:r w:rsidR="006543F4">
        <w:rPr>
          <w:rFonts w:ascii="Calibri" w:eastAsia="Calibri" w:hAnsi="Calibri" w:cs="Times New Roman"/>
        </w:rPr>
        <w:t>Robert Winterbottom (WRI)</w:t>
      </w:r>
      <w:r w:rsidR="00994B9C">
        <w:rPr>
          <w:rFonts w:ascii="Calibri" w:eastAsia="Calibri" w:hAnsi="Calibri" w:cs="Times New Roman"/>
        </w:rPr>
        <w:t>.</w:t>
      </w:r>
    </w:p>
    <w:p w14:paraId="0EDF69C7" w14:textId="77777777" w:rsidR="00994B9C" w:rsidRPr="00890365" w:rsidRDefault="00994B9C" w:rsidP="00994B9C">
      <w:pPr>
        <w:spacing w:after="0" w:line="240" w:lineRule="auto"/>
        <w:rPr>
          <w:rFonts w:ascii="Calibri" w:eastAsia="Calibri" w:hAnsi="Calibri" w:cs="Times New Roman"/>
        </w:rPr>
      </w:pPr>
    </w:p>
    <w:p w14:paraId="6DB6F285" w14:textId="490E0F43" w:rsidR="002F082D" w:rsidRPr="00890365" w:rsidRDefault="002F082D" w:rsidP="00890365">
      <w:pPr>
        <w:rPr>
          <w:rFonts w:ascii="Calibri" w:eastAsia="Calibri" w:hAnsi="Calibri" w:cs="Times New Roman"/>
        </w:rPr>
      </w:pPr>
      <w:r>
        <w:rPr>
          <w:rFonts w:ascii="Calibri" w:eastAsia="Calibri" w:hAnsi="Calibri" w:cs="Times New Roman"/>
        </w:rPr>
        <w:t xml:space="preserve">We thank the following for their guidance:  </w:t>
      </w:r>
      <w:r>
        <w:rPr>
          <w:rFonts w:ascii="Calibri" w:eastAsia="Cambria" w:hAnsi="Calibri" w:cs="Times New Roman"/>
        </w:rPr>
        <w:t xml:space="preserve">Hanne Carus (Danish Ministry of Foreign Affairs) and </w:t>
      </w:r>
      <w:r w:rsidRPr="00890365">
        <w:rPr>
          <w:rFonts w:ascii="Calibri" w:eastAsia="Calibri" w:hAnsi="Calibri" w:cs="Times New Roman"/>
        </w:rPr>
        <w:t>Mogens Laumand Christensen</w:t>
      </w:r>
      <w:r>
        <w:rPr>
          <w:rFonts w:ascii="Calibri" w:eastAsia="Calibri" w:hAnsi="Calibri" w:cs="Times New Roman"/>
        </w:rPr>
        <w:t xml:space="preserve"> (DANIDA and WRI).</w:t>
      </w:r>
    </w:p>
    <w:p w14:paraId="3B21DA69" w14:textId="27C5E864" w:rsidR="008706E1" w:rsidRPr="008706E1" w:rsidRDefault="008706E1" w:rsidP="008706E1">
      <w:pPr>
        <w:spacing w:after="0" w:line="240" w:lineRule="auto"/>
        <w:rPr>
          <w:rFonts w:ascii="Calibri" w:eastAsia="Calibri" w:hAnsi="Calibri" w:cs="Times New Roman"/>
        </w:rPr>
      </w:pPr>
      <w:r w:rsidRPr="008706E1">
        <w:rPr>
          <w:rFonts w:ascii="Calibri" w:eastAsia="Calibri" w:hAnsi="Calibri" w:cs="Times New Roman"/>
        </w:rPr>
        <w:t xml:space="preserve">We thank Emily Schabacker for style editing and </w:t>
      </w:r>
      <w:r w:rsidRPr="00F16309">
        <w:rPr>
          <w:rFonts w:ascii="Calibri" w:eastAsia="Calibri" w:hAnsi="Calibri" w:cs="Times New Roman"/>
        </w:rPr>
        <w:t>Mary Paden</w:t>
      </w:r>
      <w:r w:rsidRPr="008706E1">
        <w:rPr>
          <w:rFonts w:ascii="Calibri" w:eastAsia="Calibri" w:hAnsi="Calibri" w:cs="Times New Roman"/>
        </w:rPr>
        <w:t xml:space="preserve"> for copyediting and proofreading.  In addition, we thank Hyacinth Billings, and Jen Lockard for publication layout and design. </w:t>
      </w:r>
    </w:p>
    <w:p w14:paraId="1CC4B045" w14:textId="77777777" w:rsidR="008706E1" w:rsidRPr="008706E1" w:rsidRDefault="008706E1" w:rsidP="008706E1">
      <w:pPr>
        <w:spacing w:after="0" w:line="240" w:lineRule="auto"/>
        <w:rPr>
          <w:rFonts w:ascii="Calibri" w:eastAsia="Calibri" w:hAnsi="Calibri" w:cs="Times New Roman"/>
        </w:rPr>
      </w:pPr>
    </w:p>
    <w:p w14:paraId="40AB1930" w14:textId="2563A7A6" w:rsidR="008706E1" w:rsidRPr="008706E1" w:rsidRDefault="008706E1" w:rsidP="008706E1">
      <w:pPr>
        <w:spacing w:after="0" w:line="240" w:lineRule="auto"/>
        <w:rPr>
          <w:rFonts w:ascii="Calibri" w:eastAsia="Calibri" w:hAnsi="Calibri" w:cs="Times New Roman"/>
        </w:rPr>
      </w:pPr>
      <w:r w:rsidRPr="008706E1">
        <w:rPr>
          <w:rFonts w:ascii="Calibri" w:eastAsia="Calibri" w:hAnsi="Calibri" w:cs="Times New Roman"/>
        </w:rPr>
        <w:t xml:space="preserve">For this working paper, WRI is indebted to the generous financial support of the </w:t>
      </w:r>
      <w:r w:rsidR="00890365">
        <w:rPr>
          <w:rFonts w:ascii="Calibri" w:eastAsia="Calibri" w:hAnsi="Calibri" w:cs="Times New Roman"/>
        </w:rPr>
        <w:t>Danish Ministry of Foreign Affairs</w:t>
      </w:r>
      <w:r w:rsidRPr="008706E1">
        <w:rPr>
          <w:rFonts w:ascii="Calibri" w:eastAsia="Calibri" w:hAnsi="Calibri" w:cs="Times New Roman"/>
        </w:rPr>
        <w:t>.</w:t>
      </w:r>
    </w:p>
    <w:p w14:paraId="7EF22345" w14:textId="77777777" w:rsidR="008706E1" w:rsidRPr="008706E1" w:rsidRDefault="008706E1" w:rsidP="008706E1">
      <w:pPr>
        <w:spacing w:after="0" w:line="240" w:lineRule="auto"/>
        <w:rPr>
          <w:rFonts w:ascii="Calibri" w:eastAsia="Calibri" w:hAnsi="Calibri" w:cs="Times New Roman"/>
        </w:rPr>
      </w:pPr>
    </w:p>
    <w:p w14:paraId="2A40104B" w14:textId="77777777" w:rsidR="008706E1" w:rsidRPr="008706E1" w:rsidRDefault="008706E1" w:rsidP="008706E1">
      <w:pPr>
        <w:spacing w:after="0" w:line="240" w:lineRule="auto"/>
        <w:rPr>
          <w:rFonts w:ascii="Calibri" w:eastAsia="Calibri" w:hAnsi="Calibri" w:cs="Times New Roman"/>
        </w:rPr>
      </w:pPr>
      <w:r w:rsidRPr="008706E1">
        <w:rPr>
          <w:rFonts w:ascii="Calibri" w:eastAsia="Calibri" w:hAnsi="Calibri" w:cs="Times New Roman"/>
        </w:rPr>
        <w:t xml:space="preserve">This working paper represents the views of the authors alone.  It does not necessarily represent the views of the World Resources Report’s funders. </w:t>
      </w:r>
    </w:p>
    <w:p w14:paraId="76BDDB3E" w14:textId="77777777" w:rsidR="008706E1" w:rsidRPr="008706E1" w:rsidRDefault="008706E1" w:rsidP="008706E1">
      <w:pPr>
        <w:spacing w:after="0" w:line="240" w:lineRule="auto"/>
        <w:outlineLvl w:val="0"/>
        <w:rPr>
          <w:rFonts w:ascii="Calibri" w:eastAsia="Calibri" w:hAnsi="Calibri" w:cs="Times New Roman"/>
          <w:b/>
          <w:color w:val="000099"/>
          <w:sz w:val="28"/>
          <w:szCs w:val="28"/>
        </w:rPr>
      </w:pPr>
    </w:p>
    <w:bookmarkEnd w:id="1"/>
    <w:bookmarkEnd w:id="2"/>
    <w:p w14:paraId="7517E19C" w14:textId="37844736" w:rsidR="00FA2439" w:rsidRPr="00890365" w:rsidRDefault="00496834" w:rsidP="00C83AAC">
      <w:pPr>
        <w:spacing w:after="0" w:line="240" w:lineRule="auto"/>
        <w:rPr>
          <w:rFonts w:ascii="Calibri" w:eastAsia="Calibri" w:hAnsi="Calibri" w:cs="Times New Roman"/>
        </w:rPr>
      </w:pPr>
      <w:r w:rsidRPr="00397F8C">
        <w:rPr>
          <w:color w:val="0000CC"/>
          <w:sz w:val="24"/>
          <w:szCs w:val="24"/>
        </w:rPr>
        <w:br w:type="page"/>
      </w:r>
    </w:p>
    <w:p w14:paraId="303705F9" w14:textId="77777777" w:rsidR="00F52789" w:rsidRDefault="00F52789" w:rsidP="00C83AAC">
      <w:pPr>
        <w:spacing w:after="0" w:line="240" w:lineRule="auto"/>
        <w:rPr>
          <w:b/>
          <w:color w:val="0000CC"/>
        </w:rPr>
      </w:pPr>
    </w:p>
    <w:sdt>
      <w:sdtPr>
        <w:rPr>
          <w:rFonts w:asciiTheme="minorHAnsi" w:eastAsiaTheme="minorEastAsia" w:hAnsiTheme="minorHAnsi" w:cstheme="minorBidi"/>
          <w:b w:val="0"/>
          <w:bCs w:val="0"/>
          <w:color w:val="auto"/>
          <w:sz w:val="22"/>
          <w:szCs w:val="22"/>
        </w:rPr>
        <w:id w:val="-617681814"/>
        <w:docPartObj>
          <w:docPartGallery w:val="Table of Contents"/>
          <w:docPartUnique/>
        </w:docPartObj>
      </w:sdtPr>
      <w:sdtEndPr>
        <w:rPr>
          <w:noProof/>
        </w:rPr>
      </w:sdtEndPr>
      <w:sdtContent>
        <w:p w14:paraId="49ECF54D" w14:textId="77777777" w:rsidR="00406BA7" w:rsidRPr="00406BA7" w:rsidRDefault="008E3283" w:rsidP="00406BA7">
          <w:pPr>
            <w:pStyle w:val="Overskrift"/>
            <w:spacing w:after="240"/>
            <w:rPr>
              <w:rFonts w:asciiTheme="minorHAnsi" w:hAnsiTheme="minorHAnsi"/>
              <w:color w:val="0000CC"/>
            </w:rPr>
          </w:pPr>
          <w:r>
            <w:rPr>
              <w:rFonts w:asciiTheme="minorHAnsi" w:hAnsiTheme="minorHAnsi"/>
              <w:color w:val="0000CC"/>
            </w:rPr>
            <w:t>TABLE OF CONTENTS</w:t>
          </w:r>
        </w:p>
        <w:p w14:paraId="0E7E34EB" w14:textId="77777777" w:rsidR="00871047" w:rsidRDefault="00F52789">
          <w:pPr>
            <w:pStyle w:val="Indholdsfortegnelse1"/>
            <w:rPr>
              <w:noProof/>
            </w:rPr>
          </w:pPr>
          <w:r>
            <w:fldChar w:fldCharType="begin"/>
          </w:r>
          <w:r>
            <w:instrText xml:space="preserve"> TOC \o "1-3" \h \z \u </w:instrText>
          </w:r>
          <w:r>
            <w:fldChar w:fldCharType="separate"/>
          </w:r>
          <w:hyperlink w:anchor="_Toc387076752" w:history="1">
            <w:r w:rsidR="00871047" w:rsidRPr="003025F1">
              <w:rPr>
                <w:rStyle w:val="Hyperlink"/>
                <w:noProof/>
              </w:rPr>
              <w:t>SUMMARY</w:t>
            </w:r>
            <w:r w:rsidR="00871047">
              <w:rPr>
                <w:noProof/>
                <w:webHidden/>
              </w:rPr>
              <w:tab/>
            </w:r>
            <w:r w:rsidR="00871047">
              <w:rPr>
                <w:noProof/>
                <w:webHidden/>
              </w:rPr>
              <w:fldChar w:fldCharType="begin"/>
            </w:r>
            <w:r w:rsidR="00871047">
              <w:rPr>
                <w:noProof/>
                <w:webHidden/>
              </w:rPr>
              <w:instrText xml:space="preserve"> PAGEREF _Toc387076752 \h </w:instrText>
            </w:r>
            <w:r w:rsidR="00871047">
              <w:rPr>
                <w:noProof/>
                <w:webHidden/>
              </w:rPr>
            </w:r>
            <w:r w:rsidR="00871047">
              <w:rPr>
                <w:noProof/>
                <w:webHidden/>
              </w:rPr>
              <w:fldChar w:fldCharType="separate"/>
            </w:r>
            <w:r w:rsidR="00871047">
              <w:rPr>
                <w:noProof/>
                <w:webHidden/>
              </w:rPr>
              <w:t>3</w:t>
            </w:r>
            <w:r w:rsidR="00871047">
              <w:rPr>
                <w:noProof/>
                <w:webHidden/>
              </w:rPr>
              <w:fldChar w:fldCharType="end"/>
            </w:r>
          </w:hyperlink>
        </w:p>
        <w:p w14:paraId="1AC0D42B" w14:textId="77777777" w:rsidR="00871047" w:rsidRDefault="00F53EE6">
          <w:pPr>
            <w:pStyle w:val="Indholdsfortegnelse1"/>
            <w:rPr>
              <w:noProof/>
            </w:rPr>
          </w:pPr>
          <w:hyperlink w:anchor="_Toc387076753" w:history="1">
            <w:r w:rsidR="00871047" w:rsidRPr="003025F1">
              <w:rPr>
                <w:rStyle w:val="Hyperlink"/>
                <w:caps/>
                <w:noProof/>
              </w:rPr>
              <w:t>I.</w:t>
            </w:r>
            <w:r w:rsidR="00871047">
              <w:rPr>
                <w:noProof/>
              </w:rPr>
              <w:tab/>
            </w:r>
            <w:r w:rsidR="00871047" w:rsidRPr="003025F1">
              <w:rPr>
                <w:rStyle w:val="Hyperlink"/>
                <w:caps/>
                <w:noProof/>
              </w:rPr>
              <w:t>INDICATORS AND A SUSTAINABLE FOOD FUTURE</w:t>
            </w:r>
            <w:r w:rsidR="00871047">
              <w:rPr>
                <w:noProof/>
                <w:webHidden/>
              </w:rPr>
              <w:tab/>
            </w:r>
            <w:r w:rsidR="00871047">
              <w:rPr>
                <w:noProof/>
                <w:webHidden/>
              </w:rPr>
              <w:fldChar w:fldCharType="begin"/>
            </w:r>
            <w:r w:rsidR="00871047">
              <w:rPr>
                <w:noProof/>
                <w:webHidden/>
              </w:rPr>
              <w:instrText xml:space="preserve"> PAGEREF _Toc387076753 \h </w:instrText>
            </w:r>
            <w:r w:rsidR="00871047">
              <w:rPr>
                <w:noProof/>
                <w:webHidden/>
              </w:rPr>
            </w:r>
            <w:r w:rsidR="00871047">
              <w:rPr>
                <w:noProof/>
                <w:webHidden/>
              </w:rPr>
              <w:fldChar w:fldCharType="separate"/>
            </w:r>
            <w:r w:rsidR="00871047">
              <w:rPr>
                <w:noProof/>
                <w:webHidden/>
              </w:rPr>
              <w:t>5</w:t>
            </w:r>
            <w:r w:rsidR="00871047">
              <w:rPr>
                <w:noProof/>
                <w:webHidden/>
              </w:rPr>
              <w:fldChar w:fldCharType="end"/>
            </w:r>
          </w:hyperlink>
        </w:p>
        <w:p w14:paraId="72984352" w14:textId="77777777" w:rsidR="00871047" w:rsidRDefault="00F53EE6">
          <w:pPr>
            <w:pStyle w:val="Indholdsfortegnelse1"/>
            <w:rPr>
              <w:noProof/>
            </w:rPr>
          </w:pPr>
          <w:hyperlink w:anchor="_Toc387076754" w:history="1">
            <w:r w:rsidR="00871047" w:rsidRPr="003025F1">
              <w:rPr>
                <w:rStyle w:val="Hyperlink"/>
                <w:noProof/>
              </w:rPr>
              <w:t>II.</w:t>
            </w:r>
            <w:r w:rsidR="00871047">
              <w:rPr>
                <w:noProof/>
              </w:rPr>
              <w:tab/>
            </w:r>
            <w:r w:rsidR="00871047" w:rsidRPr="003025F1">
              <w:rPr>
                <w:rStyle w:val="Hyperlink"/>
                <w:noProof/>
              </w:rPr>
              <w:t>THE LANDSCAPE OF EXISTING INDICATORS OF THE ENVIRONMENTAL SUSTAINABILITY OF AGRICULTURE</w:t>
            </w:r>
            <w:r w:rsidR="00871047">
              <w:rPr>
                <w:noProof/>
                <w:webHidden/>
              </w:rPr>
              <w:tab/>
            </w:r>
            <w:r w:rsidR="00871047">
              <w:rPr>
                <w:noProof/>
                <w:webHidden/>
              </w:rPr>
              <w:fldChar w:fldCharType="begin"/>
            </w:r>
            <w:r w:rsidR="00871047">
              <w:rPr>
                <w:noProof/>
                <w:webHidden/>
              </w:rPr>
              <w:instrText xml:space="preserve"> PAGEREF _Toc387076754 \h </w:instrText>
            </w:r>
            <w:r w:rsidR="00871047">
              <w:rPr>
                <w:noProof/>
                <w:webHidden/>
              </w:rPr>
            </w:r>
            <w:r w:rsidR="00871047">
              <w:rPr>
                <w:noProof/>
                <w:webHidden/>
              </w:rPr>
              <w:fldChar w:fldCharType="separate"/>
            </w:r>
            <w:r w:rsidR="00871047">
              <w:rPr>
                <w:noProof/>
                <w:webHidden/>
              </w:rPr>
              <w:t>7</w:t>
            </w:r>
            <w:r w:rsidR="00871047">
              <w:rPr>
                <w:noProof/>
                <w:webHidden/>
              </w:rPr>
              <w:fldChar w:fldCharType="end"/>
            </w:r>
          </w:hyperlink>
        </w:p>
        <w:p w14:paraId="565B887D" w14:textId="77777777" w:rsidR="00871047" w:rsidRDefault="00F53EE6">
          <w:pPr>
            <w:pStyle w:val="Indholdsfortegnelse1"/>
            <w:rPr>
              <w:noProof/>
            </w:rPr>
          </w:pPr>
          <w:hyperlink w:anchor="_Toc387076755" w:history="1">
            <w:r w:rsidR="00871047" w:rsidRPr="003025F1">
              <w:rPr>
                <w:rStyle w:val="Hyperlink"/>
                <w:noProof/>
              </w:rPr>
              <w:t>III.</w:t>
            </w:r>
            <w:r w:rsidR="00871047">
              <w:rPr>
                <w:noProof/>
              </w:rPr>
              <w:tab/>
            </w:r>
            <w:r w:rsidR="00871047" w:rsidRPr="003025F1">
              <w:rPr>
                <w:rStyle w:val="Hyperlink"/>
                <w:noProof/>
              </w:rPr>
              <w:t>PARAMETERS FOR SELECTING CANDIDATE INDICATORS</w:t>
            </w:r>
            <w:r w:rsidR="00871047">
              <w:rPr>
                <w:noProof/>
                <w:webHidden/>
              </w:rPr>
              <w:tab/>
            </w:r>
            <w:r w:rsidR="00871047">
              <w:rPr>
                <w:noProof/>
                <w:webHidden/>
              </w:rPr>
              <w:fldChar w:fldCharType="begin"/>
            </w:r>
            <w:r w:rsidR="00871047">
              <w:rPr>
                <w:noProof/>
                <w:webHidden/>
              </w:rPr>
              <w:instrText xml:space="preserve"> PAGEREF _Toc387076755 \h </w:instrText>
            </w:r>
            <w:r w:rsidR="00871047">
              <w:rPr>
                <w:noProof/>
                <w:webHidden/>
              </w:rPr>
            </w:r>
            <w:r w:rsidR="00871047">
              <w:rPr>
                <w:noProof/>
                <w:webHidden/>
              </w:rPr>
              <w:fldChar w:fldCharType="separate"/>
            </w:r>
            <w:r w:rsidR="00871047">
              <w:rPr>
                <w:noProof/>
                <w:webHidden/>
              </w:rPr>
              <w:t>9</w:t>
            </w:r>
            <w:r w:rsidR="00871047">
              <w:rPr>
                <w:noProof/>
                <w:webHidden/>
              </w:rPr>
              <w:fldChar w:fldCharType="end"/>
            </w:r>
          </w:hyperlink>
        </w:p>
        <w:p w14:paraId="10900C3D" w14:textId="77777777" w:rsidR="00871047" w:rsidRDefault="00F53EE6">
          <w:pPr>
            <w:pStyle w:val="Indholdsfortegnelse2"/>
            <w:rPr>
              <w:noProof/>
            </w:rPr>
          </w:pPr>
          <w:hyperlink w:anchor="_Toc387076756" w:history="1">
            <w:r w:rsidR="00871047" w:rsidRPr="003025F1">
              <w:rPr>
                <w:rStyle w:val="Hyperlink"/>
                <w:noProof/>
              </w:rPr>
              <w:t>Thematic areas</w:t>
            </w:r>
            <w:r w:rsidR="00871047">
              <w:rPr>
                <w:noProof/>
                <w:webHidden/>
              </w:rPr>
              <w:tab/>
            </w:r>
            <w:r w:rsidR="00871047">
              <w:rPr>
                <w:noProof/>
                <w:webHidden/>
              </w:rPr>
              <w:fldChar w:fldCharType="begin"/>
            </w:r>
            <w:r w:rsidR="00871047">
              <w:rPr>
                <w:noProof/>
                <w:webHidden/>
              </w:rPr>
              <w:instrText xml:space="preserve"> PAGEREF _Toc387076756 \h </w:instrText>
            </w:r>
            <w:r w:rsidR="00871047">
              <w:rPr>
                <w:noProof/>
                <w:webHidden/>
              </w:rPr>
            </w:r>
            <w:r w:rsidR="00871047">
              <w:rPr>
                <w:noProof/>
                <w:webHidden/>
              </w:rPr>
              <w:fldChar w:fldCharType="separate"/>
            </w:r>
            <w:r w:rsidR="00871047">
              <w:rPr>
                <w:noProof/>
                <w:webHidden/>
              </w:rPr>
              <w:t>9</w:t>
            </w:r>
            <w:r w:rsidR="00871047">
              <w:rPr>
                <w:noProof/>
                <w:webHidden/>
              </w:rPr>
              <w:fldChar w:fldCharType="end"/>
            </w:r>
          </w:hyperlink>
        </w:p>
        <w:p w14:paraId="01323810" w14:textId="77777777" w:rsidR="00871047" w:rsidRDefault="00F53EE6">
          <w:pPr>
            <w:pStyle w:val="Indholdsfortegnelse2"/>
            <w:rPr>
              <w:noProof/>
            </w:rPr>
          </w:pPr>
          <w:hyperlink w:anchor="_Toc387076757" w:history="1">
            <w:r w:rsidR="00871047" w:rsidRPr="003025F1">
              <w:rPr>
                <w:rStyle w:val="Hyperlink"/>
                <w:noProof/>
              </w:rPr>
              <w:t>Stage in causal chain</w:t>
            </w:r>
            <w:r w:rsidR="00871047">
              <w:rPr>
                <w:noProof/>
                <w:webHidden/>
              </w:rPr>
              <w:tab/>
            </w:r>
            <w:r w:rsidR="00871047">
              <w:rPr>
                <w:noProof/>
                <w:webHidden/>
              </w:rPr>
              <w:fldChar w:fldCharType="begin"/>
            </w:r>
            <w:r w:rsidR="00871047">
              <w:rPr>
                <w:noProof/>
                <w:webHidden/>
              </w:rPr>
              <w:instrText xml:space="preserve"> PAGEREF _Toc387076757 \h </w:instrText>
            </w:r>
            <w:r w:rsidR="00871047">
              <w:rPr>
                <w:noProof/>
                <w:webHidden/>
              </w:rPr>
            </w:r>
            <w:r w:rsidR="00871047">
              <w:rPr>
                <w:noProof/>
                <w:webHidden/>
              </w:rPr>
              <w:fldChar w:fldCharType="separate"/>
            </w:r>
            <w:r w:rsidR="00871047">
              <w:rPr>
                <w:noProof/>
                <w:webHidden/>
              </w:rPr>
              <w:t>11</w:t>
            </w:r>
            <w:r w:rsidR="00871047">
              <w:rPr>
                <w:noProof/>
                <w:webHidden/>
              </w:rPr>
              <w:fldChar w:fldCharType="end"/>
            </w:r>
          </w:hyperlink>
        </w:p>
        <w:p w14:paraId="7E9D5E41" w14:textId="77777777" w:rsidR="00871047" w:rsidRDefault="00F53EE6">
          <w:pPr>
            <w:pStyle w:val="Indholdsfortegnelse2"/>
            <w:rPr>
              <w:noProof/>
            </w:rPr>
          </w:pPr>
          <w:hyperlink w:anchor="_Toc387076758" w:history="1">
            <w:r w:rsidR="00871047" w:rsidRPr="003025F1">
              <w:rPr>
                <w:rStyle w:val="Hyperlink"/>
                <w:noProof/>
              </w:rPr>
              <w:t>Screening criteria</w:t>
            </w:r>
            <w:r w:rsidR="00871047">
              <w:rPr>
                <w:noProof/>
                <w:webHidden/>
              </w:rPr>
              <w:tab/>
            </w:r>
            <w:r w:rsidR="00871047">
              <w:rPr>
                <w:noProof/>
                <w:webHidden/>
              </w:rPr>
              <w:fldChar w:fldCharType="begin"/>
            </w:r>
            <w:r w:rsidR="00871047">
              <w:rPr>
                <w:noProof/>
                <w:webHidden/>
              </w:rPr>
              <w:instrText xml:space="preserve"> PAGEREF _Toc387076758 \h </w:instrText>
            </w:r>
            <w:r w:rsidR="00871047">
              <w:rPr>
                <w:noProof/>
                <w:webHidden/>
              </w:rPr>
            </w:r>
            <w:r w:rsidR="00871047">
              <w:rPr>
                <w:noProof/>
                <w:webHidden/>
              </w:rPr>
              <w:fldChar w:fldCharType="separate"/>
            </w:r>
            <w:r w:rsidR="00871047">
              <w:rPr>
                <w:noProof/>
                <w:webHidden/>
              </w:rPr>
              <w:t>12</w:t>
            </w:r>
            <w:r w:rsidR="00871047">
              <w:rPr>
                <w:noProof/>
                <w:webHidden/>
              </w:rPr>
              <w:fldChar w:fldCharType="end"/>
            </w:r>
          </w:hyperlink>
        </w:p>
        <w:p w14:paraId="7635D667" w14:textId="77777777" w:rsidR="00871047" w:rsidRDefault="00F53EE6">
          <w:pPr>
            <w:pStyle w:val="Indholdsfortegnelse1"/>
            <w:rPr>
              <w:noProof/>
            </w:rPr>
          </w:pPr>
          <w:hyperlink w:anchor="_Toc387076759" w:history="1">
            <w:r w:rsidR="00871047" w:rsidRPr="003025F1">
              <w:rPr>
                <w:rStyle w:val="Hyperlink"/>
                <w:caps/>
                <w:noProof/>
              </w:rPr>
              <w:t>IV.</w:t>
            </w:r>
            <w:r w:rsidR="00871047">
              <w:rPr>
                <w:noProof/>
              </w:rPr>
              <w:tab/>
            </w:r>
            <w:r w:rsidR="00871047" w:rsidRPr="003025F1">
              <w:rPr>
                <w:rStyle w:val="Hyperlink"/>
                <w:caps/>
                <w:noProof/>
              </w:rPr>
              <w:t>Candidate environmental sustainability indicators</w:t>
            </w:r>
            <w:r w:rsidR="00871047">
              <w:rPr>
                <w:noProof/>
                <w:webHidden/>
              </w:rPr>
              <w:tab/>
            </w:r>
            <w:r w:rsidR="00871047">
              <w:rPr>
                <w:noProof/>
                <w:webHidden/>
              </w:rPr>
              <w:fldChar w:fldCharType="begin"/>
            </w:r>
            <w:r w:rsidR="00871047">
              <w:rPr>
                <w:noProof/>
                <w:webHidden/>
              </w:rPr>
              <w:instrText xml:space="preserve"> PAGEREF _Toc387076759 \h </w:instrText>
            </w:r>
            <w:r w:rsidR="00871047">
              <w:rPr>
                <w:noProof/>
                <w:webHidden/>
              </w:rPr>
            </w:r>
            <w:r w:rsidR="00871047">
              <w:rPr>
                <w:noProof/>
                <w:webHidden/>
              </w:rPr>
              <w:fldChar w:fldCharType="separate"/>
            </w:r>
            <w:r w:rsidR="00871047">
              <w:rPr>
                <w:noProof/>
                <w:webHidden/>
              </w:rPr>
              <w:t>14</w:t>
            </w:r>
            <w:r w:rsidR="00871047">
              <w:rPr>
                <w:noProof/>
                <w:webHidden/>
              </w:rPr>
              <w:fldChar w:fldCharType="end"/>
            </w:r>
          </w:hyperlink>
        </w:p>
        <w:p w14:paraId="0A6F1D4A" w14:textId="77777777" w:rsidR="00871047" w:rsidRDefault="00F53EE6">
          <w:pPr>
            <w:pStyle w:val="Indholdsfortegnelse2"/>
            <w:rPr>
              <w:noProof/>
            </w:rPr>
          </w:pPr>
          <w:hyperlink w:anchor="_Toc387076760" w:history="1">
            <w:r w:rsidR="00871047" w:rsidRPr="003025F1">
              <w:rPr>
                <w:rStyle w:val="Hyperlink"/>
                <w:noProof/>
              </w:rPr>
              <w:t>The short-list indicators and metrics</w:t>
            </w:r>
            <w:r w:rsidR="00871047">
              <w:rPr>
                <w:noProof/>
                <w:webHidden/>
              </w:rPr>
              <w:tab/>
            </w:r>
            <w:r w:rsidR="00871047">
              <w:rPr>
                <w:noProof/>
                <w:webHidden/>
              </w:rPr>
              <w:fldChar w:fldCharType="begin"/>
            </w:r>
            <w:r w:rsidR="00871047">
              <w:rPr>
                <w:noProof/>
                <w:webHidden/>
              </w:rPr>
              <w:instrText xml:space="preserve"> PAGEREF _Toc387076760 \h </w:instrText>
            </w:r>
            <w:r w:rsidR="00871047">
              <w:rPr>
                <w:noProof/>
                <w:webHidden/>
              </w:rPr>
            </w:r>
            <w:r w:rsidR="00871047">
              <w:rPr>
                <w:noProof/>
                <w:webHidden/>
              </w:rPr>
              <w:fldChar w:fldCharType="separate"/>
            </w:r>
            <w:r w:rsidR="00871047">
              <w:rPr>
                <w:noProof/>
                <w:webHidden/>
              </w:rPr>
              <w:t>14</w:t>
            </w:r>
            <w:r w:rsidR="00871047">
              <w:rPr>
                <w:noProof/>
                <w:webHidden/>
              </w:rPr>
              <w:fldChar w:fldCharType="end"/>
            </w:r>
          </w:hyperlink>
        </w:p>
        <w:p w14:paraId="63C35AB3" w14:textId="77777777" w:rsidR="00871047" w:rsidRDefault="00F53EE6">
          <w:pPr>
            <w:pStyle w:val="Indholdsfortegnelse2"/>
            <w:rPr>
              <w:noProof/>
            </w:rPr>
          </w:pPr>
          <w:hyperlink w:anchor="_Toc387076761" w:history="1">
            <w:r w:rsidR="00871047" w:rsidRPr="003025F1">
              <w:rPr>
                <w:rStyle w:val="Hyperlink"/>
                <w:noProof/>
              </w:rPr>
              <w:t>Some caveats</w:t>
            </w:r>
            <w:r w:rsidR="00871047">
              <w:rPr>
                <w:noProof/>
                <w:webHidden/>
              </w:rPr>
              <w:tab/>
            </w:r>
            <w:r w:rsidR="00871047">
              <w:rPr>
                <w:noProof/>
                <w:webHidden/>
              </w:rPr>
              <w:fldChar w:fldCharType="begin"/>
            </w:r>
            <w:r w:rsidR="00871047">
              <w:rPr>
                <w:noProof/>
                <w:webHidden/>
              </w:rPr>
              <w:instrText xml:space="preserve"> PAGEREF _Toc387076761 \h </w:instrText>
            </w:r>
            <w:r w:rsidR="00871047">
              <w:rPr>
                <w:noProof/>
                <w:webHidden/>
              </w:rPr>
            </w:r>
            <w:r w:rsidR="00871047">
              <w:rPr>
                <w:noProof/>
                <w:webHidden/>
              </w:rPr>
              <w:fldChar w:fldCharType="separate"/>
            </w:r>
            <w:r w:rsidR="00871047">
              <w:rPr>
                <w:noProof/>
                <w:webHidden/>
              </w:rPr>
              <w:t>17</w:t>
            </w:r>
            <w:r w:rsidR="00871047">
              <w:rPr>
                <w:noProof/>
                <w:webHidden/>
              </w:rPr>
              <w:fldChar w:fldCharType="end"/>
            </w:r>
          </w:hyperlink>
        </w:p>
        <w:p w14:paraId="587B756B" w14:textId="77777777" w:rsidR="00871047" w:rsidRDefault="00F53EE6">
          <w:pPr>
            <w:pStyle w:val="Indholdsfortegnelse2"/>
            <w:rPr>
              <w:noProof/>
            </w:rPr>
          </w:pPr>
          <w:hyperlink w:anchor="_Toc387076762" w:history="1">
            <w:r w:rsidR="00871047" w:rsidRPr="003025F1">
              <w:rPr>
                <w:rStyle w:val="Hyperlink"/>
                <w:noProof/>
              </w:rPr>
              <w:t>Integrating the indicators into an index</w:t>
            </w:r>
            <w:r w:rsidR="00871047">
              <w:rPr>
                <w:noProof/>
                <w:webHidden/>
              </w:rPr>
              <w:tab/>
            </w:r>
            <w:r w:rsidR="00871047">
              <w:rPr>
                <w:noProof/>
                <w:webHidden/>
              </w:rPr>
              <w:fldChar w:fldCharType="begin"/>
            </w:r>
            <w:r w:rsidR="00871047">
              <w:rPr>
                <w:noProof/>
                <w:webHidden/>
              </w:rPr>
              <w:instrText xml:space="preserve"> PAGEREF _Toc387076762 \h </w:instrText>
            </w:r>
            <w:r w:rsidR="00871047">
              <w:rPr>
                <w:noProof/>
                <w:webHidden/>
              </w:rPr>
            </w:r>
            <w:r w:rsidR="00871047">
              <w:rPr>
                <w:noProof/>
                <w:webHidden/>
              </w:rPr>
              <w:fldChar w:fldCharType="separate"/>
            </w:r>
            <w:r w:rsidR="00871047">
              <w:rPr>
                <w:noProof/>
                <w:webHidden/>
              </w:rPr>
              <w:t>17</w:t>
            </w:r>
            <w:r w:rsidR="00871047">
              <w:rPr>
                <w:noProof/>
                <w:webHidden/>
              </w:rPr>
              <w:fldChar w:fldCharType="end"/>
            </w:r>
          </w:hyperlink>
        </w:p>
        <w:p w14:paraId="13547565" w14:textId="77777777" w:rsidR="00871047" w:rsidRDefault="00F53EE6">
          <w:pPr>
            <w:pStyle w:val="Indholdsfortegnelse1"/>
            <w:rPr>
              <w:noProof/>
            </w:rPr>
          </w:pPr>
          <w:hyperlink w:anchor="_Toc387076763" w:history="1">
            <w:r w:rsidR="00871047" w:rsidRPr="003025F1">
              <w:rPr>
                <w:rStyle w:val="Hyperlink"/>
                <w:caps/>
                <w:noProof/>
              </w:rPr>
              <w:t>V.</w:t>
            </w:r>
            <w:r w:rsidR="00871047">
              <w:rPr>
                <w:noProof/>
              </w:rPr>
              <w:tab/>
            </w:r>
            <w:r w:rsidR="00871047" w:rsidRPr="003025F1">
              <w:rPr>
                <w:rStyle w:val="Hyperlink"/>
                <w:caps/>
                <w:noProof/>
              </w:rPr>
              <w:t>PROPOSED NEXT STEPS</w:t>
            </w:r>
            <w:r w:rsidR="00871047">
              <w:rPr>
                <w:noProof/>
                <w:webHidden/>
              </w:rPr>
              <w:tab/>
            </w:r>
            <w:r w:rsidR="00871047">
              <w:rPr>
                <w:noProof/>
                <w:webHidden/>
              </w:rPr>
              <w:fldChar w:fldCharType="begin"/>
            </w:r>
            <w:r w:rsidR="00871047">
              <w:rPr>
                <w:noProof/>
                <w:webHidden/>
              </w:rPr>
              <w:instrText xml:space="preserve"> PAGEREF _Toc387076763 \h </w:instrText>
            </w:r>
            <w:r w:rsidR="00871047">
              <w:rPr>
                <w:noProof/>
                <w:webHidden/>
              </w:rPr>
            </w:r>
            <w:r w:rsidR="00871047">
              <w:rPr>
                <w:noProof/>
                <w:webHidden/>
              </w:rPr>
              <w:fldChar w:fldCharType="separate"/>
            </w:r>
            <w:r w:rsidR="00871047">
              <w:rPr>
                <w:noProof/>
                <w:webHidden/>
              </w:rPr>
              <w:t>18</w:t>
            </w:r>
            <w:r w:rsidR="00871047">
              <w:rPr>
                <w:noProof/>
                <w:webHidden/>
              </w:rPr>
              <w:fldChar w:fldCharType="end"/>
            </w:r>
          </w:hyperlink>
        </w:p>
        <w:p w14:paraId="2A287045" w14:textId="77777777" w:rsidR="00871047" w:rsidRDefault="00F53EE6">
          <w:pPr>
            <w:pStyle w:val="Indholdsfortegnelse2"/>
            <w:rPr>
              <w:noProof/>
            </w:rPr>
          </w:pPr>
          <w:hyperlink w:anchor="_Toc387076764" w:history="1">
            <w:r w:rsidR="00871047" w:rsidRPr="003025F1">
              <w:rPr>
                <w:rStyle w:val="Hyperlink"/>
                <w:noProof/>
              </w:rPr>
              <w:t>Activities</w:t>
            </w:r>
            <w:r w:rsidR="00871047">
              <w:rPr>
                <w:noProof/>
                <w:webHidden/>
              </w:rPr>
              <w:tab/>
            </w:r>
            <w:r w:rsidR="00871047">
              <w:rPr>
                <w:noProof/>
                <w:webHidden/>
              </w:rPr>
              <w:fldChar w:fldCharType="begin"/>
            </w:r>
            <w:r w:rsidR="00871047">
              <w:rPr>
                <w:noProof/>
                <w:webHidden/>
              </w:rPr>
              <w:instrText xml:space="preserve"> PAGEREF _Toc387076764 \h </w:instrText>
            </w:r>
            <w:r w:rsidR="00871047">
              <w:rPr>
                <w:noProof/>
                <w:webHidden/>
              </w:rPr>
            </w:r>
            <w:r w:rsidR="00871047">
              <w:rPr>
                <w:noProof/>
                <w:webHidden/>
              </w:rPr>
              <w:fldChar w:fldCharType="separate"/>
            </w:r>
            <w:r w:rsidR="00871047">
              <w:rPr>
                <w:noProof/>
                <w:webHidden/>
              </w:rPr>
              <w:t>19</w:t>
            </w:r>
            <w:r w:rsidR="00871047">
              <w:rPr>
                <w:noProof/>
                <w:webHidden/>
              </w:rPr>
              <w:fldChar w:fldCharType="end"/>
            </w:r>
          </w:hyperlink>
        </w:p>
        <w:p w14:paraId="6C67D2F7" w14:textId="77777777" w:rsidR="00871047" w:rsidRDefault="00F53EE6">
          <w:pPr>
            <w:pStyle w:val="Indholdsfortegnelse2"/>
            <w:rPr>
              <w:noProof/>
            </w:rPr>
          </w:pPr>
          <w:hyperlink w:anchor="_Toc387076765" w:history="1">
            <w:r w:rsidR="00871047" w:rsidRPr="003025F1">
              <w:rPr>
                <w:rStyle w:val="Hyperlink"/>
                <w:noProof/>
              </w:rPr>
              <w:t>End products</w:t>
            </w:r>
            <w:r w:rsidR="00871047">
              <w:rPr>
                <w:noProof/>
                <w:webHidden/>
              </w:rPr>
              <w:tab/>
            </w:r>
            <w:r w:rsidR="00871047">
              <w:rPr>
                <w:noProof/>
                <w:webHidden/>
              </w:rPr>
              <w:fldChar w:fldCharType="begin"/>
            </w:r>
            <w:r w:rsidR="00871047">
              <w:rPr>
                <w:noProof/>
                <w:webHidden/>
              </w:rPr>
              <w:instrText xml:space="preserve"> PAGEREF _Toc387076765 \h </w:instrText>
            </w:r>
            <w:r w:rsidR="00871047">
              <w:rPr>
                <w:noProof/>
                <w:webHidden/>
              </w:rPr>
            </w:r>
            <w:r w:rsidR="00871047">
              <w:rPr>
                <w:noProof/>
                <w:webHidden/>
              </w:rPr>
              <w:fldChar w:fldCharType="separate"/>
            </w:r>
            <w:r w:rsidR="00871047">
              <w:rPr>
                <w:noProof/>
                <w:webHidden/>
              </w:rPr>
              <w:t>20</w:t>
            </w:r>
            <w:r w:rsidR="00871047">
              <w:rPr>
                <w:noProof/>
                <w:webHidden/>
              </w:rPr>
              <w:fldChar w:fldCharType="end"/>
            </w:r>
          </w:hyperlink>
        </w:p>
        <w:p w14:paraId="66154E01" w14:textId="77777777" w:rsidR="00871047" w:rsidRDefault="00F53EE6">
          <w:pPr>
            <w:pStyle w:val="Indholdsfortegnelse2"/>
            <w:rPr>
              <w:noProof/>
            </w:rPr>
          </w:pPr>
          <w:hyperlink w:anchor="_Toc387076766" w:history="1">
            <w:r w:rsidR="00871047" w:rsidRPr="003025F1">
              <w:rPr>
                <w:rStyle w:val="Hyperlink"/>
                <w:noProof/>
              </w:rPr>
              <w:t>Who to engage</w:t>
            </w:r>
            <w:r w:rsidR="00871047">
              <w:rPr>
                <w:noProof/>
                <w:webHidden/>
              </w:rPr>
              <w:tab/>
            </w:r>
            <w:r w:rsidR="00871047">
              <w:rPr>
                <w:noProof/>
                <w:webHidden/>
              </w:rPr>
              <w:fldChar w:fldCharType="begin"/>
            </w:r>
            <w:r w:rsidR="00871047">
              <w:rPr>
                <w:noProof/>
                <w:webHidden/>
              </w:rPr>
              <w:instrText xml:space="preserve"> PAGEREF _Toc387076766 \h </w:instrText>
            </w:r>
            <w:r w:rsidR="00871047">
              <w:rPr>
                <w:noProof/>
                <w:webHidden/>
              </w:rPr>
            </w:r>
            <w:r w:rsidR="00871047">
              <w:rPr>
                <w:noProof/>
                <w:webHidden/>
              </w:rPr>
              <w:fldChar w:fldCharType="separate"/>
            </w:r>
            <w:r w:rsidR="00871047">
              <w:rPr>
                <w:noProof/>
                <w:webHidden/>
              </w:rPr>
              <w:t>20</w:t>
            </w:r>
            <w:r w:rsidR="00871047">
              <w:rPr>
                <w:noProof/>
                <w:webHidden/>
              </w:rPr>
              <w:fldChar w:fldCharType="end"/>
            </w:r>
          </w:hyperlink>
        </w:p>
        <w:p w14:paraId="5A5E7B5E" w14:textId="77777777" w:rsidR="00871047" w:rsidRDefault="00F53EE6">
          <w:pPr>
            <w:pStyle w:val="Indholdsfortegnelse2"/>
            <w:rPr>
              <w:noProof/>
            </w:rPr>
          </w:pPr>
          <w:hyperlink w:anchor="_Toc387076767" w:history="1">
            <w:r w:rsidR="00871047" w:rsidRPr="003025F1">
              <w:rPr>
                <w:rStyle w:val="Hyperlink"/>
                <w:noProof/>
              </w:rPr>
              <w:t>Concluding thoughts</w:t>
            </w:r>
            <w:r w:rsidR="00871047">
              <w:rPr>
                <w:noProof/>
                <w:webHidden/>
              </w:rPr>
              <w:tab/>
            </w:r>
            <w:r w:rsidR="00871047">
              <w:rPr>
                <w:noProof/>
                <w:webHidden/>
              </w:rPr>
              <w:fldChar w:fldCharType="begin"/>
            </w:r>
            <w:r w:rsidR="00871047">
              <w:rPr>
                <w:noProof/>
                <w:webHidden/>
              </w:rPr>
              <w:instrText xml:space="preserve"> PAGEREF _Toc387076767 \h </w:instrText>
            </w:r>
            <w:r w:rsidR="00871047">
              <w:rPr>
                <w:noProof/>
                <w:webHidden/>
              </w:rPr>
            </w:r>
            <w:r w:rsidR="00871047">
              <w:rPr>
                <w:noProof/>
                <w:webHidden/>
              </w:rPr>
              <w:fldChar w:fldCharType="separate"/>
            </w:r>
            <w:r w:rsidR="00871047">
              <w:rPr>
                <w:noProof/>
                <w:webHidden/>
              </w:rPr>
              <w:t>20</w:t>
            </w:r>
            <w:r w:rsidR="00871047">
              <w:rPr>
                <w:noProof/>
                <w:webHidden/>
              </w:rPr>
              <w:fldChar w:fldCharType="end"/>
            </w:r>
          </w:hyperlink>
        </w:p>
        <w:p w14:paraId="75AF9A6A" w14:textId="77777777" w:rsidR="00871047" w:rsidRDefault="00F53EE6">
          <w:pPr>
            <w:pStyle w:val="Indholdsfortegnelse1"/>
            <w:rPr>
              <w:noProof/>
            </w:rPr>
          </w:pPr>
          <w:hyperlink w:anchor="_Toc387076768" w:history="1">
            <w:r w:rsidR="00871047" w:rsidRPr="003025F1">
              <w:rPr>
                <w:rStyle w:val="Hyperlink"/>
                <w:noProof/>
              </w:rPr>
              <w:t>REFERENCES</w:t>
            </w:r>
            <w:r w:rsidR="00871047">
              <w:rPr>
                <w:noProof/>
                <w:webHidden/>
              </w:rPr>
              <w:tab/>
            </w:r>
            <w:r w:rsidR="00871047">
              <w:rPr>
                <w:noProof/>
                <w:webHidden/>
              </w:rPr>
              <w:fldChar w:fldCharType="begin"/>
            </w:r>
            <w:r w:rsidR="00871047">
              <w:rPr>
                <w:noProof/>
                <w:webHidden/>
              </w:rPr>
              <w:instrText xml:space="preserve"> PAGEREF _Toc387076768 \h </w:instrText>
            </w:r>
            <w:r w:rsidR="00871047">
              <w:rPr>
                <w:noProof/>
                <w:webHidden/>
              </w:rPr>
            </w:r>
            <w:r w:rsidR="00871047">
              <w:rPr>
                <w:noProof/>
                <w:webHidden/>
              </w:rPr>
              <w:fldChar w:fldCharType="separate"/>
            </w:r>
            <w:r w:rsidR="00871047">
              <w:rPr>
                <w:noProof/>
                <w:webHidden/>
              </w:rPr>
              <w:t>21</w:t>
            </w:r>
            <w:r w:rsidR="00871047">
              <w:rPr>
                <w:noProof/>
                <w:webHidden/>
              </w:rPr>
              <w:fldChar w:fldCharType="end"/>
            </w:r>
          </w:hyperlink>
        </w:p>
        <w:p w14:paraId="6CC3C978" w14:textId="77777777" w:rsidR="00871047" w:rsidRDefault="00F53EE6">
          <w:pPr>
            <w:pStyle w:val="Indholdsfortegnelse1"/>
            <w:rPr>
              <w:noProof/>
            </w:rPr>
          </w:pPr>
          <w:hyperlink w:anchor="_Toc387076769" w:history="1">
            <w:r w:rsidR="00871047" w:rsidRPr="003025F1">
              <w:rPr>
                <w:rStyle w:val="Hyperlink"/>
                <w:noProof/>
              </w:rPr>
              <w:t>ENDNOTES</w:t>
            </w:r>
            <w:r w:rsidR="00871047">
              <w:rPr>
                <w:noProof/>
                <w:webHidden/>
              </w:rPr>
              <w:tab/>
            </w:r>
            <w:r w:rsidR="00871047">
              <w:rPr>
                <w:noProof/>
                <w:webHidden/>
              </w:rPr>
              <w:fldChar w:fldCharType="begin"/>
            </w:r>
            <w:r w:rsidR="00871047">
              <w:rPr>
                <w:noProof/>
                <w:webHidden/>
              </w:rPr>
              <w:instrText xml:space="preserve"> PAGEREF _Toc387076769 \h </w:instrText>
            </w:r>
            <w:r w:rsidR="00871047">
              <w:rPr>
                <w:noProof/>
                <w:webHidden/>
              </w:rPr>
            </w:r>
            <w:r w:rsidR="00871047">
              <w:rPr>
                <w:noProof/>
                <w:webHidden/>
              </w:rPr>
              <w:fldChar w:fldCharType="separate"/>
            </w:r>
            <w:r w:rsidR="00871047">
              <w:rPr>
                <w:noProof/>
                <w:webHidden/>
              </w:rPr>
              <w:t>22</w:t>
            </w:r>
            <w:r w:rsidR="00871047">
              <w:rPr>
                <w:noProof/>
                <w:webHidden/>
              </w:rPr>
              <w:fldChar w:fldCharType="end"/>
            </w:r>
          </w:hyperlink>
        </w:p>
        <w:p w14:paraId="7022D26A" w14:textId="77777777" w:rsidR="00F52789" w:rsidRDefault="00F52789">
          <w:r>
            <w:rPr>
              <w:b/>
              <w:bCs/>
              <w:noProof/>
            </w:rPr>
            <w:fldChar w:fldCharType="end"/>
          </w:r>
        </w:p>
      </w:sdtContent>
    </w:sdt>
    <w:p w14:paraId="02EF1F74" w14:textId="77777777" w:rsidR="00F52789" w:rsidRDefault="00F52789" w:rsidP="00B45025">
      <w:pPr>
        <w:pStyle w:val="Overskrift1"/>
        <w:rPr>
          <w:rFonts w:asciiTheme="minorHAnsi" w:hAnsiTheme="minorHAnsi"/>
          <w:color w:val="0000FF"/>
          <w:sz w:val="24"/>
          <w:szCs w:val="24"/>
        </w:rPr>
      </w:pPr>
    </w:p>
    <w:p w14:paraId="2A964AAE" w14:textId="77777777" w:rsidR="00F52789" w:rsidRDefault="00F52789" w:rsidP="00B45025">
      <w:pPr>
        <w:pStyle w:val="Overskrift1"/>
        <w:rPr>
          <w:rFonts w:asciiTheme="minorHAnsi" w:hAnsiTheme="minorHAnsi"/>
          <w:color w:val="0000FF"/>
          <w:sz w:val="24"/>
          <w:szCs w:val="24"/>
        </w:rPr>
      </w:pPr>
    </w:p>
    <w:p w14:paraId="62BBCF20" w14:textId="77777777" w:rsidR="00F52789" w:rsidRDefault="00F52789">
      <w:pPr>
        <w:rPr>
          <w:rFonts w:eastAsiaTheme="majorEastAsia" w:cstheme="majorBidi"/>
          <w:b/>
          <w:bCs/>
          <w:color w:val="0000FF"/>
          <w:sz w:val="24"/>
          <w:szCs w:val="24"/>
        </w:rPr>
      </w:pPr>
      <w:r>
        <w:rPr>
          <w:color w:val="0000FF"/>
          <w:sz w:val="24"/>
          <w:szCs w:val="24"/>
        </w:rPr>
        <w:br w:type="page"/>
      </w:r>
    </w:p>
    <w:p w14:paraId="5A05EE44" w14:textId="77777777" w:rsidR="00FA2439" w:rsidRPr="00F54AE6" w:rsidRDefault="00FA2439" w:rsidP="00BF6204">
      <w:pPr>
        <w:pStyle w:val="Overskrift1"/>
        <w:tabs>
          <w:tab w:val="left" w:pos="450"/>
        </w:tabs>
        <w:rPr>
          <w:rFonts w:asciiTheme="minorHAnsi" w:hAnsiTheme="minorHAnsi"/>
          <w:color w:val="000099"/>
          <w:sz w:val="22"/>
          <w:szCs w:val="22"/>
        </w:rPr>
      </w:pPr>
      <w:bookmarkStart w:id="3" w:name="_Toc352660930"/>
      <w:bookmarkStart w:id="4" w:name="_Toc386694772"/>
      <w:bookmarkStart w:id="5" w:name="_Toc387076752"/>
      <w:r w:rsidRPr="00F54AE6">
        <w:rPr>
          <w:rFonts w:asciiTheme="minorHAnsi" w:hAnsiTheme="minorHAnsi"/>
          <w:color w:val="000099"/>
          <w:sz w:val="22"/>
          <w:szCs w:val="22"/>
        </w:rPr>
        <w:lastRenderedPageBreak/>
        <w:t>SUMMARY</w:t>
      </w:r>
      <w:bookmarkEnd w:id="3"/>
      <w:bookmarkEnd w:id="4"/>
      <w:bookmarkEnd w:id="5"/>
    </w:p>
    <w:p w14:paraId="673B98ED" w14:textId="77777777" w:rsidR="00A56111" w:rsidRDefault="00A56111" w:rsidP="00CF1CE3">
      <w:pPr>
        <w:keepNext/>
        <w:spacing w:after="0" w:line="240" w:lineRule="auto"/>
      </w:pPr>
    </w:p>
    <w:p w14:paraId="71405850" w14:textId="77777777" w:rsidR="00741ED2" w:rsidRDefault="00474AAF" w:rsidP="00741ED2">
      <w:pPr>
        <w:spacing w:after="0" w:line="240" w:lineRule="auto"/>
      </w:pPr>
      <w:r>
        <w:t xml:space="preserve">Quantifiable indicators </w:t>
      </w:r>
      <w:r w:rsidR="00741ED2">
        <w:t xml:space="preserve">of the environmental sustainability of agriculture are </w:t>
      </w:r>
      <w:r>
        <w:t>a</w:t>
      </w:r>
      <w:r w:rsidR="00741ED2">
        <w:t xml:space="preserve">n important tool for helping move the world toward a sustainable food future. </w:t>
      </w:r>
      <w:r>
        <w:t xml:space="preserve">Indicators enable policymakers, farmers, businesses, and civil society to better understand current conditions, </w:t>
      </w:r>
      <w:r w:rsidR="00741ED2">
        <w:t xml:space="preserve">identify trends, </w:t>
      </w:r>
      <w:r>
        <w:t>set targets, monitor progress, and compare performance between regions and countries.</w:t>
      </w:r>
      <w:r w:rsidR="00741ED2">
        <w:t xml:space="preserve"> B</w:t>
      </w:r>
      <w:r>
        <w:t xml:space="preserve">ut what indicators </w:t>
      </w:r>
      <w:r w:rsidR="00741ED2">
        <w:t>are most</w:t>
      </w:r>
      <w:r>
        <w:t xml:space="preserve"> </w:t>
      </w:r>
      <w:r w:rsidR="00741ED2">
        <w:t xml:space="preserve">appropriate? </w:t>
      </w:r>
    </w:p>
    <w:p w14:paraId="6BE2C812" w14:textId="77777777" w:rsidR="00741ED2" w:rsidRDefault="00741ED2" w:rsidP="00741ED2">
      <w:pPr>
        <w:spacing w:after="0" w:line="240" w:lineRule="auto"/>
      </w:pPr>
    </w:p>
    <w:p w14:paraId="23DCE3F4" w14:textId="41E2DC91" w:rsidR="00CF1CE3" w:rsidRDefault="00474AAF" w:rsidP="007A7AF6">
      <w:pPr>
        <w:spacing w:after="0" w:line="240" w:lineRule="auto"/>
      </w:pPr>
      <w:r>
        <w:t xml:space="preserve">To address this question, the World Resources Institute (WRI) conducted a scoping exercise </w:t>
      </w:r>
      <w:r w:rsidR="00741ED2">
        <w:t xml:space="preserve">to identify a preliminary list of candidate indicators at the nexus of agriculture and environment. </w:t>
      </w:r>
      <w:r w:rsidR="00A56111">
        <w:t xml:space="preserve">This </w:t>
      </w:r>
      <w:r w:rsidR="00F763A5">
        <w:t>working paper</w:t>
      </w:r>
      <w:r w:rsidR="00A56111">
        <w:t xml:space="preserve"> </w:t>
      </w:r>
      <w:r w:rsidR="00326626">
        <w:t>describes</w:t>
      </w:r>
      <w:r w:rsidR="00A56111">
        <w:t xml:space="preserve"> the </w:t>
      </w:r>
      <w:r w:rsidR="00F763A5">
        <w:t>methods</w:t>
      </w:r>
      <w:r w:rsidR="00A56111">
        <w:t xml:space="preserve"> and </w:t>
      </w:r>
      <w:r w:rsidR="004910B6">
        <w:t>results</w:t>
      </w:r>
      <w:r w:rsidR="00A56111">
        <w:t xml:space="preserve"> of </w:t>
      </w:r>
      <w:r w:rsidR="00741ED2">
        <w:t xml:space="preserve">this analysis. </w:t>
      </w:r>
    </w:p>
    <w:p w14:paraId="0554CF52" w14:textId="77777777" w:rsidR="007A7AF6" w:rsidRDefault="007A7AF6" w:rsidP="007A7AF6">
      <w:pPr>
        <w:spacing w:after="0" w:line="240" w:lineRule="auto"/>
      </w:pPr>
    </w:p>
    <w:p w14:paraId="65FA3539" w14:textId="37346BC3" w:rsidR="00CF1CE3" w:rsidRDefault="007A7AF6" w:rsidP="007A7AF6">
      <w:pPr>
        <w:spacing w:after="0" w:line="240" w:lineRule="auto"/>
      </w:pPr>
      <w:r>
        <w:t>First, we i</w:t>
      </w:r>
      <w:r w:rsidR="00CF1CE3">
        <w:t xml:space="preserve">dentified, </w:t>
      </w:r>
      <w:r w:rsidR="000E5DEA">
        <w:t>analyzed</w:t>
      </w:r>
      <w:r w:rsidR="00CF1CE3">
        <w:t xml:space="preserve">, and profiled the landscape of </w:t>
      </w:r>
      <w:r w:rsidR="009037DA">
        <w:t>existing</w:t>
      </w:r>
      <w:r w:rsidR="00CF1CE3">
        <w:t xml:space="preserve"> indicators, </w:t>
      </w:r>
      <w:r w:rsidR="00F763A5">
        <w:t xml:space="preserve">indices, </w:t>
      </w:r>
      <w:r w:rsidR="00CF1CE3">
        <w:t xml:space="preserve">and datasets </w:t>
      </w:r>
      <w:r w:rsidR="00F763A5">
        <w:t>regarding the environmental sustainability of agriculture</w:t>
      </w:r>
      <w:r w:rsidR="00C64F6F">
        <w:t>.</w:t>
      </w:r>
      <w:r w:rsidR="00CF1CE3">
        <w:t xml:space="preserve"> </w:t>
      </w:r>
      <w:r>
        <w:t>Second, we s</w:t>
      </w:r>
      <w:r w:rsidR="00CF1CE3">
        <w:t>elected the most relevant “thematic areas” for environmental</w:t>
      </w:r>
      <w:r>
        <w:t xml:space="preserve"> sustainability in agriculture. These areas are </w:t>
      </w:r>
      <w:r w:rsidR="00CF1CE3">
        <w:t xml:space="preserve">water, climate change, land conversion, </w:t>
      </w:r>
      <w:r>
        <w:t>soil health, and</w:t>
      </w:r>
      <w:r w:rsidR="004E52EB">
        <w:t xml:space="preserve"> </w:t>
      </w:r>
      <w:r w:rsidR="00CF1CE3">
        <w:t xml:space="preserve">pollution.  </w:t>
      </w:r>
    </w:p>
    <w:p w14:paraId="648A44BD" w14:textId="77777777" w:rsidR="007A7AF6" w:rsidRDefault="007A7AF6" w:rsidP="007A7AF6">
      <w:pPr>
        <w:spacing w:after="0" w:line="240" w:lineRule="auto"/>
      </w:pPr>
    </w:p>
    <w:p w14:paraId="4AD8B4AE" w14:textId="486C4CB1" w:rsidR="00CF1CE3" w:rsidRDefault="007A7AF6" w:rsidP="007A7AF6">
      <w:pPr>
        <w:spacing w:after="0" w:line="240" w:lineRule="auto"/>
      </w:pPr>
      <w:r>
        <w:t>Third, we i</w:t>
      </w:r>
      <w:r w:rsidR="00CF1CE3">
        <w:t xml:space="preserve">dentified the generic </w:t>
      </w:r>
      <w:r w:rsidR="00211004">
        <w:t xml:space="preserve">stages of the “causal chain” of action </w:t>
      </w:r>
      <w:r w:rsidR="00CF1CE3">
        <w:t>that an index or indicators can represent or seek to influence</w:t>
      </w:r>
      <w:r>
        <w:t>. These stages are</w:t>
      </w:r>
      <w:r w:rsidR="004E52EB">
        <w:t xml:space="preserve"> </w:t>
      </w:r>
      <w:r>
        <w:t>public policy,</w:t>
      </w:r>
      <w:r w:rsidR="004E52EB">
        <w:t xml:space="preserve"> </w:t>
      </w:r>
      <w:r w:rsidR="00CF1CE3">
        <w:t>farmer practice, and</w:t>
      </w:r>
      <w:r>
        <w:t xml:space="preserve"> </w:t>
      </w:r>
      <w:r w:rsidR="00CF1CE3">
        <w:t>biophysical performance.</w:t>
      </w:r>
    </w:p>
    <w:p w14:paraId="277BE9CB" w14:textId="77777777" w:rsidR="007A7AF6" w:rsidRDefault="007A7AF6" w:rsidP="007A7AF6">
      <w:pPr>
        <w:spacing w:after="0" w:line="240" w:lineRule="auto"/>
      </w:pPr>
    </w:p>
    <w:p w14:paraId="756C2433" w14:textId="77777777" w:rsidR="007A7AF6" w:rsidRDefault="007A7AF6" w:rsidP="007A7AF6">
      <w:pPr>
        <w:spacing w:after="0" w:line="240" w:lineRule="auto"/>
      </w:pPr>
      <w:r>
        <w:t>Fourth, we s</w:t>
      </w:r>
      <w:r w:rsidR="00CF1CE3">
        <w:t xml:space="preserve">elected </w:t>
      </w:r>
      <w:r w:rsidR="00C64F6F">
        <w:t xml:space="preserve">seven </w:t>
      </w:r>
      <w:r w:rsidR="00CF1CE3">
        <w:t>screening criteria against whic</w:t>
      </w:r>
      <w:r w:rsidR="000E5DEA">
        <w:t>h</w:t>
      </w:r>
      <w:r>
        <w:t xml:space="preserve"> to assess candidate indicators. These screening criteria are a</w:t>
      </w:r>
      <w:r w:rsidR="00A72CB5" w:rsidRPr="00A72CB5">
        <w:t>vailability</w:t>
      </w:r>
      <w:r w:rsidR="00C64F6F">
        <w:t xml:space="preserve"> of data</w:t>
      </w:r>
      <w:r w:rsidR="00A72CB5">
        <w:t>, accuracy</w:t>
      </w:r>
      <w:r w:rsidR="00C64F6F">
        <w:t xml:space="preserve"> of data</w:t>
      </w:r>
      <w:r w:rsidR="00A72CB5">
        <w:t>, consistency</w:t>
      </w:r>
      <w:r w:rsidR="00C64F6F">
        <w:t xml:space="preserve"> in how data is gathered</w:t>
      </w:r>
      <w:r w:rsidR="00A72CB5">
        <w:t>, frequency</w:t>
      </w:r>
      <w:r w:rsidR="00C64F6F">
        <w:t xml:space="preserve"> of data</w:t>
      </w:r>
      <w:r w:rsidR="00A72CB5">
        <w:t xml:space="preserve">, </w:t>
      </w:r>
      <w:r w:rsidR="00F763A5">
        <w:t xml:space="preserve">data’s </w:t>
      </w:r>
      <w:r w:rsidR="00A72CB5">
        <w:t>proximity</w:t>
      </w:r>
      <w:r w:rsidR="00C64F6F">
        <w:t xml:space="preserve"> to reality</w:t>
      </w:r>
      <w:r w:rsidR="00A72CB5">
        <w:t>, r</w:t>
      </w:r>
      <w:r w:rsidR="00A72CB5" w:rsidRPr="00A72CB5">
        <w:t>elevancy</w:t>
      </w:r>
      <w:r w:rsidR="00F763A5">
        <w:t xml:space="preserve"> of data</w:t>
      </w:r>
      <w:r w:rsidR="00A72CB5">
        <w:t xml:space="preserve">, and </w:t>
      </w:r>
      <w:r w:rsidR="00C64F6F">
        <w:t xml:space="preserve">ability </w:t>
      </w:r>
      <w:r w:rsidR="00F763A5">
        <w:t xml:space="preserve">for data </w:t>
      </w:r>
      <w:r w:rsidR="00C64F6F">
        <w:t xml:space="preserve">to </w:t>
      </w:r>
      <w:r w:rsidR="00A72CB5">
        <w:t>d</w:t>
      </w:r>
      <w:r w:rsidR="00C64F6F">
        <w:t>ifferentiate between countries</w:t>
      </w:r>
      <w:r w:rsidR="00A72CB5">
        <w:t>.</w:t>
      </w:r>
    </w:p>
    <w:p w14:paraId="57C4D022" w14:textId="77777777" w:rsidR="007A7AF6" w:rsidRDefault="007A7AF6" w:rsidP="007A7AF6">
      <w:pPr>
        <w:spacing w:after="0" w:line="240" w:lineRule="auto"/>
      </w:pPr>
    </w:p>
    <w:p w14:paraId="4F2A71B6" w14:textId="50B5B80E" w:rsidR="00C64F6F" w:rsidRDefault="007A7AF6" w:rsidP="007A7AF6">
      <w:pPr>
        <w:spacing w:after="0" w:line="240" w:lineRule="auto"/>
      </w:pPr>
      <w:r>
        <w:t>Fifth, we i</w:t>
      </w:r>
      <w:r w:rsidR="00C64F6F">
        <w:t>dentified a “long list” of</w:t>
      </w:r>
      <w:r w:rsidR="00C64F6F" w:rsidRPr="00C64F6F">
        <w:t xml:space="preserve"> candidate indicators of environmental sustainability in agriculture</w:t>
      </w:r>
      <w:r w:rsidR="00C64F6F">
        <w:t xml:space="preserve"> </w:t>
      </w:r>
      <w:r w:rsidR="00C64F6F" w:rsidRPr="00C64F6F">
        <w:t xml:space="preserve">for each of the five thematic areas and for each of the three </w:t>
      </w:r>
      <w:r w:rsidR="000E5DEA">
        <w:t>stages</w:t>
      </w:r>
      <w:r w:rsidR="00C64F6F">
        <w:t xml:space="preserve"> in the causal chain. I</w:t>
      </w:r>
      <w:r w:rsidR="00C64F6F" w:rsidRPr="00C64F6F">
        <w:t xml:space="preserve">ndicators </w:t>
      </w:r>
      <w:r w:rsidR="00C64F6F">
        <w:t>came from</w:t>
      </w:r>
      <w:r w:rsidR="00C64F6F" w:rsidRPr="00C64F6F">
        <w:t xml:space="preserve"> the landscape analysis </w:t>
      </w:r>
      <w:r w:rsidR="00F763A5">
        <w:t>as well as</w:t>
      </w:r>
      <w:r w:rsidR="00C64F6F" w:rsidRPr="00C64F6F">
        <w:t xml:space="preserve"> </w:t>
      </w:r>
      <w:r w:rsidR="00F763A5">
        <w:t>WRI</w:t>
      </w:r>
      <w:r w:rsidR="00C64F6F" w:rsidRPr="00C64F6F">
        <w:t xml:space="preserve"> </w:t>
      </w:r>
      <w:r w:rsidR="00C64F6F">
        <w:t>input</w:t>
      </w:r>
      <w:r w:rsidR="00C64F6F" w:rsidRPr="00C64F6F">
        <w:t>. We then evaluated each of these possible indicators against the seven screening criteria. Those that fared best became the “short list” of candidate indicators</w:t>
      </w:r>
      <w:r w:rsidR="00591B3B">
        <w:t xml:space="preserve"> (</w:t>
      </w:r>
      <w:r w:rsidR="00591B3B" w:rsidRPr="007A7AF6">
        <w:rPr>
          <w:color w:val="000099"/>
        </w:rPr>
        <w:t>Table 1</w:t>
      </w:r>
      <w:r w:rsidR="00591B3B">
        <w:t>)</w:t>
      </w:r>
      <w:r w:rsidR="00C64F6F" w:rsidRPr="00C64F6F">
        <w:t>.</w:t>
      </w:r>
    </w:p>
    <w:p w14:paraId="34719BD1" w14:textId="77777777" w:rsidR="007A7AF6" w:rsidRDefault="007A7AF6" w:rsidP="007A7AF6">
      <w:pPr>
        <w:spacing w:after="0" w:line="240" w:lineRule="auto"/>
      </w:pPr>
    </w:p>
    <w:p w14:paraId="34E4E252" w14:textId="153A54CE" w:rsidR="000F1B53" w:rsidRDefault="007A7AF6" w:rsidP="007A7AF6">
      <w:pPr>
        <w:spacing w:after="0" w:line="240" w:lineRule="auto"/>
      </w:pPr>
      <w:r>
        <w:t>Sixth, we e</w:t>
      </w:r>
      <w:r w:rsidR="004E52EB">
        <w:t xml:space="preserve">xplored options for how to integrate the indicators into an overall </w:t>
      </w:r>
      <w:r w:rsidR="000E5DEA">
        <w:t xml:space="preserve">index on the </w:t>
      </w:r>
      <w:r w:rsidR="004E52EB">
        <w:t xml:space="preserve">environmental sustainability </w:t>
      </w:r>
      <w:r w:rsidR="000E5DEA">
        <w:t>of agriculture</w:t>
      </w:r>
      <w:r w:rsidR="004E52EB">
        <w:t>.</w:t>
      </w:r>
      <w:r>
        <w:t xml:space="preserve"> Finally, we p</w:t>
      </w:r>
      <w:r w:rsidR="00591B3B">
        <w:t>roposed</w:t>
      </w:r>
      <w:r w:rsidR="00D52F92" w:rsidRPr="004236D2">
        <w:t xml:space="preserve"> </w:t>
      </w:r>
      <w:r w:rsidR="00D52F92">
        <w:t xml:space="preserve">a </w:t>
      </w:r>
      <w:r w:rsidR="00591B3B">
        <w:t>set of next step</w:t>
      </w:r>
      <w:r w:rsidR="00D52F92">
        <w:t xml:space="preserve"> activities for creating and </w:t>
      </w:r>
      <w:r w:rsidR="00D52F92" w:rsidRPr="004236D2">
        <w:t xml:space="preserve">establishing </w:t>
      </w:r>
      <w:r w:rsidR="00591B3B">
        <w:t xml:space="preserve">indicators of </w:t>
      </w:r>
      <w:r w:rsidR="000E5DEA">
        <w:t xml:space="preserve">the </w:t>
      </w:r>
      <w:r w:rsidR="00D52F92" w:rsidRPr="004236D2">
        <w:t>environmental sustainability</w:t>
      </w:r>
      <w:r w:rsidR="00D52F92">
        <w:t xml:space="preserve"> </w:t>
      </w:r>
      <w:r w:rsidR="00591B3B">
        <w:t>of agriculture</w:t>
      </w:r>
      <w:r w:rsidR="00D52F92">
        <w:t>.</w:t>
      </w:r>
    </w:p>
    <w:p w14:paraId="4BCB3FBA" w14:textId="77777777" w:rsidR="000F1B53" w:rsidRDefault="000F1B53" w:rsidP="00EF7861">
      <w:pPr>
        <w:spacing w:after="0" w:line="240" w:lineRule="auto"/>
      </w:pPr>
    </w:p>
    <w:p w14:paraId="6650CF88" w14:textId="10827515" w:rsidR="004910B6" w:rsidRDefault="004910B6" w:rsidP="00EF7861">
      <w:pPr>
        <w:spacing w:after="0" w:line="240" w:lineRule="auto"/>
      </w:pPr>
    </w:p>
    <w:p w14:paraId="76F4EA67" w14:textId="77777777" w:rsidR="00F763A5" w:rsidRDefault="00F763A5">
      <w:pPr>
        <w:rPr>
          <w:caps/>
          <w:color w:val="000099"/>
        </w:rPr>
      </w:pPr>
    </w:p>
    <w:p w14:paraId="2CD1621D" w14:textId="77777777" w:rsidR="00F763A5" w:rsidRDefault="00F763A5">
      <w:pPr>
        <w:rPr>
          <w:caps/>
          <w:color w:val="000099"/>
        </w:rPr>
      </w:pPr>
    </w:p>
    <w:p w14:paraId="5CDA8658" w14:textId="77777777" w:rsidR="00F763A5" w:rsidRDefault="00F763A5">
      <w:pPr>
        <w:rPr>
          <w:caps/>
          <w:color w:val="000099"/>
        </w:rPr>
      </w:pPr>
      <w:r>
        <w:rPr>
          <w:caps/>
          <w:color w:val="000099"/>
        </w:rPr>
        <w:br w:type="page"/>
      </w:r>
    </w:p>
    <w:p w14:paraId="73E4AF8A" w14:textId="77777777" w:rsidR="00F763A5" w:rsidRDefault="00F763A5">
      <w:pPr>
        <w:rPr>
          <w:caps/>
          <w:color w:val="000099"/>
        </w:rPr>
        <w:sectPr w:rsidR="00F763A5" w:rsidSect="0037625D">
          <w:footerReference w:type="default" r:id="rId12"/>
          <w:footerReference w:type="first" r:id="rId13"/>
          <w:endnotePr>
            <w:numFmt w:val="decimal"/>
          </w:endnotePr>
          <w:pgSz w:w="12240" w:h="15840"/>
          <w:pgMar w:top="1440" w:right="1440" w:bottom="1440" w:left="1440" w:header="720" w:footer="720" w:gutter="0"/>
          <w:pgNumType w:start="0"/>
          <w:cols w:space="720"/>
          <w:titlePg/>
          <w:docGrid w:linePitch="360"/>
        </w:sectPr>
      </w:pPr>
    </w:p>
    <w:p w14:paraId="72AE7629" w14:textId="336D46C7" w:rsidR="00F763A5" w:rsidRDefault="00F763A5" w:rsidP="00F763A5">
      <w:pPr>
        <w:spacing w:after="0" w:line="240" w:lineRule="auto"/>
        <w:ind w:left="-540"/>
        <w:rPr>
          <w:b/>
        </w:rPr>
      </w:pPr>
      <w:r>
        <w:rPr>
          <w:b/>
        </w:rPr>
        <w:lastRenderedPageBreak/>
        <w:t>Table 1</w:t>
      </w:r>
      <w:r w:rsidRPr="002153B7">
        <w:rPr>
          <w:b/>
        </w:rPr>
        <w:t xml:space="preserve">. Summary of </w:t>
      </w:r>
      <w:r>
        <w:rPr>
          <w:b/>
        </w:rPr>
        <w:t>first draft candidate</w:t>
      </w:r>
      <w:r w:rsidRPr="002153B7">
        <w:rPr>
          <w:b/>
        </w:rPr>
        <w:t xml:space="preserve"> environmental sustainability indicators</w:t>
      </w:r>
      <w:r>
        <w:rPr>
          <w:b/>
        </w:rPr>
        <w:t xml:space="preserve"> at the country level</w:t>
      </w:r>
      <w:r w:rsidRPr="002153B7">
        <w:rPr>
          <w:b/>
        </w:rPr>
        <w:t xml:space="preserve"> </w:t>
      </w:r>
      <w:r w:rsidRPr="00457D59">
        <w:rPr>
          <w:b/>
          <w:color w:val="000099"/>
        </w:rPr>
        <w:t>(unit of measure)</w:t>
      </w:r>
    </w:p>
    <w:p w14:paraId="29F80A4B" w14:textId="77777777" w:rsidR="00F763A5" w:rsidRPr="00457D59" w:rsidRDefault="00F763A5" w:rsidP="00F763A5">
      <w:pPr>
        <w:spacing w:after="0" w:line="240" w:lineRule="auto"/>
        <w:rPr>
          <w:b/>
        </w:rPr>
      </w:pPr>
    </w:p>
    <w:tbl>
      <w:tblPr>
        <w:tblStyle w:val="Tabel-Gitter"/>
        <w:tblW w:w="145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2130"/>
        <w:gridCol w:w="270"/>
        <w:gridCol w:w="1350"/>
        <w:gridCol w:w="2070"/>
        <w:gridCol w:w="2610"/>
        <w:gridCol w:w="2610"/>
        <w:gridCol w:w="2250"/>
      </w:tblGrid>
      <w:tr w:rsidR="00147C9D" w:rsidRPr="00147C9D" w14:paraId="0843C9B8" w14:textId="77777777" w:rsidTr="00871047">
        <w:tc>
          <w:tcPr>
            <w:tcW w:w="1290" w:type="dxa"/>
          </w:tcPr>
          <w:p w14:paraId="2E7578C9" w14:textId="77777777" w:rsidR="00147C9D" w:rsidRPr="00871047" w:rsidRDefault="00147C9D" w:rsidP="00582224">
            <w:pPr>
              <w:rPr>
                <w:b/>
                <w:sz w:val="18"/>
              </w:rPr>
            </w:pPr>
          </w:p>
        </w:tc>
        <w:tc>
          <w:tcPr>
            <w:tcW w:w="2400" w:type="dxa"/>
            <w:gridSpan w:val="2"/>
          </w:tcPr>
          <w:p w14:paraId="6BA78804" w14:textId="77777777" w:rsidR="00147C9D" w:rsidRPr="00871047" w:rsidRDefault="00147C9D" w:rsidP="00582224">
            <w:pPr>
              <w:rPr>
                <w:b/>
                <w:sz w:val="18"/>
              </w:rPr>
            </w:pPr>
          </w:p>
        </w:tc>
        <w:tc>
          <w:tcPr>
            <w:tcW w:w="1350" w:type="dxa"/>
          </w:tcPr>
          <w:p w14:paraId="1519E8DB" w14:textId="77777777" w:rsidR="00147C9D" w:rsidRPr="00871047" w:rsidRDefault="00147C9D" w:rsidP="00582224">
            <w:pPr>
              <w:rPr>
                <w:b/>
                <w:sz w:val="18"/>
              </w:rPr>
            </w:pPr>
          </w:p>
        </w:tc>
        <w:tc>
          <w:tcPr>
            <w:tcW w:w="2070" w:type="dxa"/>
          </w:tcPr>
          <w:p w14:paraId="1E06E683" w14:textId="77777777" w:rsidR="00147C9D" w:rsidRPr="00871047" w:rsidRDefault="00147C9D" w:rsidP="00582224">
            <w:pPr>
              <w:rPr>
                <w:b/>
                <w:sz w:val="18"/>
              </w:rPr>
            </w:pPr>
          </w:p>
        </w:tc>
        <w:tc>
          <w:tcPr>
            <w:tcW w:w="2610" w:type="dxa"/>
          </w:tcPr>
          <w:p w14:paraId="09C5F7F9" w14:textId="77777777" w:rsidR="00147C9D" w:rsidRPr="00871047" w:rsidRDefault="00147C9D" w:rsidP="00582224">
            <w:pPr>
              <w:rPr>
                <w:b/>
                <w:sz w:val="18"/>
              </w:rPr>
            </w:pPr>
          </w:p>
        </w:tc>
        <w:tc>
          <w:tcPr>
            <w:tcW w:w="4860" w:type="dxa"/>
            <w:gridSpan w:val="2"/>
            <w:tcBorders>
              <w:bottom w:val="single" w:sz="4" w:space="0" w:color="auto"/>
            </w:tcBorders>
          </w:tcPr>
          <w:p w14:paraId="0AC6D0C5" w14:textId="77777777" w:rsidR="00147C9D" w:rsidRPr="00871047" w:rsidRDefault="00147C9D" w:rsidP="00582224">
            <w:pPr>
              <w:jc w:val="center"/>
              <w:rPr>
                <w:b/>
                <w:sz w:val="18"/>
              </w:rPr>
            </w:pPr>
            <w:r w:rsidRPr="00871047">
              <w:rPr>
                <w:b/>
                <w:sz w:val="18"/>
              </w:rPr>
              <w:t>Pollution</w:t>
            </w:r>
          </w:p>
        </w:tc>
      </w:tr>
      <w:tr w:rsidR="00147C9D" w:rsidRPr="00457D59" w14:paraId="6E0567E4" w14:textId="77777777" w:rsidTr="00871047">
        <w:tc>
          <w:tcPr>
            <w:tcW w:w="1290" w:type="dxa"/>
            <w:tcBorders>
              <w:bottom w:val="single" w:sz="4" w:space="0" w:color="auto"/>
            </w:tcBorders>
          </w:tcPr>
          <w:p w14:paraId="2B9E5B81" w14:textId="77777777" w:rsidR="00147C9D" w:rsidRPr="00871047" w:rsidRDefault="00147C9D" w:rsidP="00582224">
            <w:pPr>
              <w:rPr>
                <w:b/>
                <w:sz w:val="18"/>
              </w:rPr>
            </w:pPr>
          </w:p>
        </w:tc>
        <w:tc>
          <w:tcPr>
            <w:tcW w:w="2130" w:type="dxa"/>
            <w:tcBorders>
              <w:bottom w:val="single" w:sz="4" w:space="0" w:color="auto"/>
            </w:tcBorders>
          </w:tcPr>
          <w:p w14:paraId="75293E86" w14:textId="77777777" w:rsidR="00147C9D" w:rsidRPr="00871047" w:rsidRDefault="00147C9D" w:rsidP="00582224">
            <w:pPr>
              <w:rPr>
                <w:b/>
                <w:sz w:val="18"/>
              </w:rPr>
            </w:pPr>
            <w:r w:rsidRPr="00871047">
              <w:rPr>
                <w:b/>
                <w:sz w:val="18"/>
              </w:rPr>
              <w:t>Water</w:t>
            </w:r>
          </w:p>
        </w:tc>
        <w:tc>
          <w:tcPr>
            <w:tcW w:w="1620" w:type="dxa"/>
            <w:gridSpan w:val="2"/>
            <w:tcBorders>
              <w:bottom w:val="single" w:sz="4" w:space="0" w:color="auto"/>
            </w:tcBorders>
          </w:tcPr>
          <w:p w14:paraId="4A5092A4" w14:textId="77777777" w:rsidR="00147C9D" w:rsidRPr="00871047" w:rsidRDefault="00147C9D" w:rsidP="00582224">
            <w:pPr>
              <w:rPr>
                <w:b/>
                <w:sz w:val="18"/>
              </w:rPr>
            </w:pPr>
            <w:r w:rsidRPr="00871047">
              <w:rPr>
                <w:b/>
                <w:sz w:val="18"/>
              </w:rPr>
              <w:t>Climate change</w:t>
            </w:r>
          </w:p>
        </w:tc>
        <w:tc>
          <w:tcPr>
            <w:tcW w:w="2070" w:type="dxa"/>
            <w:tcBorders>
              <w:bottom w:val="single" w:sz="4" w:space="0" w:color="auto"/>
            </w:tcBorders>
          </w:tcPr>
          <w:p w14:paraId="10167014" w14:textId="77777777" w:rsidR="00147C9D" w:rsidRPr="00871047" w:rsidRDefault="00147C9D" w:rsidP="00582224">
            <w:pPr>
              <w:rPr>
                <w:b/>
                <w:sz w:val="18"/>
              </w:rPr>
            </w:pPr>
            <w:r w:rsidRPr="00871047">
              <w:rPr>
                <w:b/>
                <w:sz w:val="18"/>
              </w:rPr>
              <w:t>Land conversion</w:t>
            </w:r>
          </w:p>
        </w:tc>
        <w:tc>
          <w:tcPr>
            <w:tcW w:w="2610" w:type="dxa"/>
            <w:tcBorders>
              <w:bottom w:val="single" w:sz="4" w:space="0" w:color="auto"/>
            </w:tcBorders>
          </w:tcPr>
          <w:p w14:paraId="47D66237" w14:textId="77777777" w:rsidR="00147C9D" w:rsidRPr="00871047" w:rsidRDefault="00147C9D" w:rsidP="00582224">
            <w:pPr>
              <w:rPr>
                <w:b/>
                <w:sz w:val="18"/>
              </w:rPr>
            </w:pPr>
            <w:r w:rsidRPr="00871047">
              <w:rPr>
                <w:b/>
                <w:sz w:val="18"/>
              </w:rPr>
              <w:t>Soil health</w:t>
            </w:r>
          </w:p>
        </w:tc>
        <w:tc>
          <w:tcPr>
            <w:tcW w:w="2610" w:type="dxa"/>
            <w:tcBorders>
              <w:top w:val="single" w:sz="4" w:space="0" w:color="auto"/>
              <w:bottom w:val="single" w:sz="4" w:space="0" w:color="auto"/>
            </w:tcBorders>
          </w:tcPr>
          <w:p w14:paraId="0682C59B" w14:textId="77777777" w:rsidR="00147C9D" w:rsidRPr="00871047" w:rsidRDefault="00147C9D" w:rsidP="00582224">
            <w:pPr>
              <w:rPr>
                <w:b/>
                <w:sz w:val="18"/>
              </w:rPr>
            </w:pPr>
            <w:r w:rsidRPr="00871047">
              <w:rPr>
                <w:b/>
                <w:sz w:val="18"/>
              </w:rPr>
              <w:t>Nutrients</w:t>
            </w:r>
          </w:p>
        </w:tc>
        <w:tc>
          <w:tcPr>
            <w:tcW w:w="2250" w:type="dxa"/>
            <w:tcBorders>
              <w:top w:val="single" w:sz="4" w:space="0" w:color="auto"/>
              <w:bottom w:val="single" w:sz="4" w:space="0" w:color="auto"/>
            </w:tcBorders>
          </w:tcPr>
          <w:p w14:paraId="61E374D1" w14:textId="77777777" w:rsidR="00147C9D" w:rsidRPr="00457D59" w:rsidRDefault="00147C9D" w:rsidP="00582224">
            <w:pPr>
              <w:rPr>
                <w:b/>
                <w:sz w:val="20"/>
                <w:szCs w:val="20"/>
              </w:rPr>
            </w:pPr>
            <w:r w:rsidRPr="00457D59">
              <w:rPr>
                <w:b/>
                <w:sz w:val="20"/>
                <w:szCs w:val="20"/>
              </w:rPr>
              <w:t>Pesticides</w:t>
            </w:r>
          </w:p>
        </w:tc>
      </w:tr>
      <w:tr w:rsidR="00147C9D" w:rsidRPr="00457D59" w14:paraId="53276ED7" w14:textId="77777777" w:rsidTr="00871047">
        <w:trPr>
          <w:trHeight w:val="1970"/>
        </w:trPr>
        <w:tc>
          <w:tcPr>
            <w:tcW w:w="1290" w:type="dxa"/>
          </w:tcPr>
          <w:p w14:paraId="606F7A3B" w14:textId="77777777" w:rsidR="00147C9D" w:rsidRPr="00871047" w:rsidRDefault="00147C9D" w:rsidP="00582224">
            <w:pPr>
              <w:rPr>
                <w:b/>
                <w:sz w:val="18"/>
              </w:rPr>
            </w:pPr>
            <w:r w:rsidRPr="00871047">
              <w:rPr>
                <w:b/>
                <w:sz w:val="18"/>
              </w:rPr>
              <w:t>Policy</w:t>
            </w:r>
          </w:p>
        </w:tc>
        <w:tc>
          <w:tcPr>
            <w:tcW w:w="2130" w:type="dxa"/>
          </w:tcPr>
          <w:p w14:paraId="2FB1128F" w14:textId="77777777" w:rsidR="00147C9D" w:rsidRPr="00871047" w:rsidRDefault="00147C9D" w:rsidP="00582224">
            <w:pPr>
              <w:rPr>
                <w:sz w:val="18"/>
              </w:rPr>
            </w:pPr>
            <w:r w:rsidRPr="00871047">
              <w:rPr>
                <w:sz w:val="18"/>
              </w:rPr>
              <w:t xml:space="preserve">Existence of policies requiring measurement of agricultural water withdrawals* </w:t>
            </w:r>
            <w:r w:rsidRPr="00871047">
              <w:rPr>
                <w:color w:val="000099"/>
                <w:sz w:val="18"/>
              </w:rPr>
              <w:t>(Yes/No)</w:t>
            </w:r>
          </w:p>
        </w:tc>
        <w:tc>
          <w:tcPr>
            <w:tcW w:w="1620" w:type="dxa"/>
            <w:gridSpan w:val="2"/>
          </w:tcPr>
          <w:p w14:paraId="3721CBB8" w14:textId="77777777" w:rsidR="00147C9D" w:rsidRPr="00871047" w:rsidRDefault="00147C9D" w:rsidP="00582224">
            <w:pPr>
              <w:rPr>
                <w:sz w:val="18"/>
              </w:rPr>
            </w:pPr>
            <w:r w:rsidRPr="00871047">
              <w:rPr>
                <w:sz w:val="18"/>
              </w:rPr>
              <w:t xml:space="preserve">Existence of policies promoting low-GHG agricultural development* </w:t>
            </w:r>
          </w:p>
          <w:p w14:paraId="26912E88" w14:textId="77777777" w:rsidR="00147C9D" w:rsidRPr="00871047" w:rsidRDefault="00147C9D" w:rsidP="00582224">
            <w:pPr>
              <w:rPr>
                <w:sz w:val="18"/>
              </w:rPr>
            </w:pPr>
            <w:r w:rsidRPr="00871047">
              <w:rPr>
                <w:color w:val="000099"/>
                <w:sz w:val="18"/>
              </w:rPr>
              <w:t>(Yes/No)</w:t>
            </w:r>
          </w:p>
        </w:tc>
        <w:tc>
          <w:tcPr>
            <w:tcW w:w="2070" w:type="dxa"/>
          </w:tcPr>
          <w:p w14:paraId="2AB2E555" w14:textId="263E71D0" w:rsidR="00147C9D" w:rsidRPr="00871047" w:rsidRDefault="00147C9D" w:rsidP="00582224">
            <w:pPr>
              <w:rPr>
                <w:sz w:val="18"/>
              </w:rPr>
            </w:pPr>
            <w:r w:rsidRPr="00871047">
              <w:rPr>
                <w:sz w:val="18"/>
              </w:rPr>
              <w:t xml:space="preserve">Existence of policies </w:t>
            </w:r>
            <w:r w:rsidRPr="00147C9D">
              <w:rPr>
                <w:sz w:val="18"/>
                <w:szCs w:val="18"/>
              </w:rPr>
              <w:t>limiting</w:t>
            </w:r>
            <w:r w:rsidRPr="00871047">
              <w:rPr>
                <w:sz w:val="18"/>
              </w:rPr>
              <w:t xml:space="preserve"> conversion of natural ecosystems to agriculture*</w:t>
            </w:r>
          </w:p>
          <w:p w14:paraId="2C14C41F" w14:textId="77777777" w:rsidR="00147C9D" w:rsidRPr="00871047" w:rsidRDefault="00147C9D" w:rsidP="00582224">
            <w:pPr>
              <w:rPr>
                <w:sz w:val="18"/>
              </w:rPr>
            </w:pPr>
            <w:r w:rsidRPr="00871047">
              <w:rPr>
                <w:color w:val="000099"/>
                <w:sz w:val="18"/>
              </w:rPr>
              <w:t>(Yes/No)</w:t>
            </w:r>
          </w:p>
        </w:tc>
        <w:tc>
          <w:tcPr>
            <w:tcW w:w="2610" w:type="dxa"/>
          </w:tcPr>
          <w:p w14:paraId="33B4B5B9" w14:textId="77777777" w:rsidR="00147C9D" w:rsidRPr="00871047" w:rsidRDefault="00147C9D" w:rsidP="00582224">
            <w:pPr>
              <w:rPr>
                <w:sz w:val="18"/>
              </w:rPr>
            </w:pPr>
            <w:r w:rsidRPr="00871047">
              <w:rPr>
                <w:sz w:val="18"/>
              </w:rPr>
              <w:t xml:space="preserve">Existence of policies promoting agricultural soil conservation practices* </w:t>
            </w:r>
          </w:p>
          <w:p w14:paraId="36AC5997" w14:textId="77777777" w:rsidR="00147C9D" w:rsidRPr="00871047" w:rsidRDefault="00147C9D" w:rsidP="00582224">
            <w:pPr>
              <w:rPr>
                <w:sz w:val="18"/>
              </w:rPr>
            </w:pPr>
            <w:r w:rsidRPr="00871047">
              <w:rPr>
                <w:color w:val="000099"/>
                <w:sz w:val="18"/>
              </w:rPr>
              <w:t>(Yes/No)</w:t>
            </w:r>
          </w:p>
        </w:tc>
        <w:tc>
          <w:tcPr>
            <w:tcW w:w="2610" w:type="dxa"/>
          </w:tcPr>
          <w:p w14:paraId="0CF5D877" w14:textId="77777777" w:rsidR="00147C9D" w:rsidRPr="00871047" w:rsidRDefault="00147C9D" w:rsidP="00582224">
            <w:pPr>
              <w:spacing w:after="60"/>
              <w:rPr>
                <w:sz w:val="18"/>
              </w:rPr>
            </w:pPr>
            <w:r w:rsidRPr="00871047">
              <w:rPr>
                <w:sz w:val="18"/>
              </w:rPr>
              <w:t xml:space="preserve">Existence of policies promoting nutrient management practices* </w:t>
            </w:r>
            <w:r w:rsidRPr="00871047">
              <w:rPr>
                <w:color w:val="000099"/>
                <w:sz w:val="18"/>
              </w:rPr>
              <w:t>(Yes/No)</w:t>
            </w:r>
          </w:p>
        </w:tc>
        <w:tc>
          <w:tcPr>
            <w:tcW w:w="2250" w:type="dxa"/>
          </w:tcPr>
          <w:p w14:paraId="4E7E0234" w14:textId="77777777" w:rsidR="00147C9D" w:rsidRPr="00457D59" w:rsidRDefault="00147C9D" w:rsidP="00582224">
            <w:pPr>
              <w:rPr>
                <w:sz w:val="20"/>
                <w:szCs w:val="20"/>
              </w:rPr>
            </w:pPr>
            <w:r w:rsidRPr="00457D59">
              <w:rPr>
                <w:sz w:val="20"/>
                <w:szCs w:val="20"/>
              </w:rPr>
              <w:t xml:space="preserve">Degree to which the country has limited or outlawed the most toxic pesticides according to the Stockholm Convention </w:t>
            </w:r>
            <w:r w:rsidRPr="00457D59">
              <w:rPr>
                <w:color w:val="000099"/>
                <w:sz w:val="20"/>
                <w:szCs w:val="20"/>
              </w:rPr>
              <w:t>(22 point scale</w:t>
            </w:r>
            <w:r w:rsidRPr="00457D59">
              <w:rPr>
                <w:rStyle w:val="Fodnotehenvisning"/>
                <w:color w:val="000099"/>
                <w:sz w:val="20"/>
                <w:szCs w:val="20"/>
              </w:rPr>
              <w:footnoteReference w:id="2"/>
            </w:r>
            <w:r w:rsidRPr="00457D59">
              <w:rPr>
                <w:color w:val="000099"/>
                <w:sz w:val="20"/>
                <w:szCs w:val="20"/>
              </w:rPr>
              <w:t>)</w:t>
            </w:r>
          </w:p>
        </w:tc>
      </w:tr>
      <w:tr w:rsidR="00147C9D" w:rsidRPr="00457D59" w14:paraId="2EDC66EF" w14:textId="77777777" w:rsidTr="00871047">
        <w:trPr>
          <w:trHeight w:val="2205"/>
        </w:trPr>
        <w:tc>
          <w:tcPr>
            <w:tcW w:w="1290" w:type="dxa"/>
          </w:tcPr>
          <w:p w14:paraId="2AD401CD" w14:textId="77777777" w:rsidR="00147C9D" w:rsidRPr="00871047" w:rsidRDefault="00147C9D" w:rsidP="00582224">
            <w:pPr>
              <w:rPr>
                <w:b/>
                <w:sz w:val="18"/>
              </w:rPr>
            </w:pPr>
            <w:r w:rsidRPr="00871047">
              <w:rPr>
                <w:b/>
                <w:sz w:val="18"/>
              </w:rPr>
              <w:t>Practice</w:t>
            </w:r>
          </w:p>
        </w:tc>
        <w:tc>
          <w:tcPr>
            <w:tcW w:w="2130" w:type="dxa"/>
          </w:tcPr>
          <w:p w14:paraId="2255EB31" w14:textId="77777777" w:rsidR="00147C9D" w:rsidRPr="00871047" w:rsidRDefault="00147C9D" w:rsidP="00582224">
            <w:pPr>
              <w:rPr>
                <w:sz w:val="18"/>
              </w:rPr>
            </w:pPr>
            <w:r w:rsidRPr="00871047">
              <w:rPr>
                <w:sz w:val="18"/>
              </w:rPr>
              <w:t xml:space="preserve">Share of cropland area with efficient irrigation practices in place* </w:t>
            </w:r>
            <w:r w:rsidRPr="00871047">
              <w:rPr>
                <w:color w:val="000099"/>
                <w:sz w:val="18"/>
              </w:rPr>
              <w:t>(percent)</w:t>
            </w:r>
          </w:p>
        </w:tc>
        <w:tc>
          <w:tcPr>
            <w:tcW w:w="1620" w:type="dxa"/>
            <w:gridSpan w:val="2"/>
          </w:tcPr>
          <w:p w14:paraId="552C88D9" w14:textId="77777777" w:rsidR="00147C9D" w:rsidRPr="00871047" w:rsidRDefault="00147C9D" w:rsidP="00582224">
            <w:pPr>
              <w:rPr>
                <w:sz w:val="18"/>
              </w:rPr>
            </w:pPr>
            <w:r w:rsidRPr="00871047">
              <w:rPr>
                <w:sz w:val="18"/>
              </w:rPr>
              <w:t xml:space="preserve">Share of farm area with agricultural GHG emissions management practices* </w:t>
            </w:r>
            <w:r w:rsidRPr="00871047">
              <w:rPr>
                <w:color w:val="000099"/>
                <w:sz w:val="18"/>
              </w:rPr>
              <w:t>(percent)</w:t>
            </w:r>
          </w:p>
        </w:tc>
        <w:tc>
          <w:tcPr>
            <w:tcW w:w="2070" w:type="dxa"/>
          </w:tcPr>
          <w:p w14:paraId="288AC2B4" w14:textId="77777777" w:rsidR="00147C9D" w:rsidRPr="00871047" w:rsidRDefault="00147C9D" w:rsidP="00582224">
            <w:pPr>
              <w:rPr>
                <w:sz w:val="18"/>
              </w:rPr>
            </w:pPr>
            <w:r w:rsidRPr="00871047">
              <w:rPr>
                <w:sz w:val="18"/>
              </w:rPr>
              <w:t>n/a</w:t>
            </w:r>
          </w:p>
        </w:tc>
        <w:tc>
          <w:tcPr>
            <w:tcW w:w="2610" w:type="dxa"/>
          </w:tcPr>
          <w:p w14:paraId="6E5C2D02" w14:textId="77777777" w:rsidR="00147C9D" w:rsidRPr="00871047" w:rsidRDefault="00147C9D" w:rsidP="00582224">
            <w:pPr>
              <w:rPr>
                <w:sz w:val="18"/>
              </w:rPr>
            </w:pPr>
            <w:r w:rsidRPr="00871047">
              <w:rPr>
                <w:sz w:val="18"/>
              </w:rPr>
              <w:t>(1) Share of arable land under soil conservation practices* (percent)</w:t>
            </w:r>
          </w:p>
          <w:p w14:paraId="613799B7" w14:textId="77777777" w:rsidR="00147C9D" w:rsidRPr="00871047" w:rsidRDefault="00147C9D" w:rsidP="00871047">
            <w:pPr>
              <w:rPr>
                <w:i/>
                <w:sz w:val="18"/>
              </w:rPr>
            </w:pPr>
            <w:r w:rsidRPr="00871047">
              <w:rPr>
                <w:i/>
                <w:sz w:val="18"/>
              </w:rPr>
              <w:t>and/or</w:t>
            </w:r>
          </w:p>
          <w:p w14:paraId="2D10E237" w14:textId="44A106A3" w:rsidR="00147C9D" w:rsidRPr="00871047" w:rsidRDefault="00147C9D" w:rsidP="00582224">
            <w:pPr>
              <w:rPr>
                <w:sz w:val="18"/>
              </w:rPr>
            </w:pPr>
            <w:r w:rsidRPr="00871047">
              <w:rPr>
                <w:sz w:val="18"/>
              </w:rPr>
              <w:t xml:space="preserve">(2) Share of cropland under conservation agriculture (e.g., </w:t>
            </w:r>
            <w:r w:rsidRPr="00147C9D">
              <w:rPr>
                <w:sz w:val="18"/>
                <w:szCs w:val="18"/>
              </w:rPr>
              <w:t>crop rotations, reduced tillage,</w:t>
            </w:r>
            <w:r w:rsidRPr="00871047">
              <w:rPr>
                <w:sz w:val="18"/>
              </w:rPr>
              <w:t xml:space="preserve"> cover</w:t>
            </w:r>
            <w:r w:rsidRPr="00147C9D">
              <w:rPr>
                <w:sz w:val="18"/>
                <w:szCs w:val="18"/>
              </w:rPr>
              <w:t xml:space="preserve"> crops</w:t>
            </w:r>
            <w:r w:rsidRPr="00871047">
              <w:rPr>
                <w:sz w:val="18"/>
              </w:rPr>
              <w:t xml:space="preserve">) </w:t>
            </w:r>
            <w:r w:rsidRPr="00871047">
              <w:rPr>
                <w:color w:val="000099"/>
                <w:sz w:val="18"/>
              </w:rPr>
              <w:t>(percent)</w:t>
            </w:r>
          </w:p>
        </w:tc>
        <w:tc>
          <w:tcPr>
            <w:tcW w:w="2610" w:type="dxa"/>
          </w:tcPr>
          <w:p w14:paraId="7BC31E8F" w14:textId="77777777" w:rsidR="00147C9D" w:rsidRPr="00871047" w:rsidRDefault="00147C9D" w:rsidP="00582224">
            <w:pPr>
              <w:rPr>
                <w:sz w:val="18"/>
              </w:rPr>
            </w:pPr>
            <w:r w:rsidRPr="00871047">
              <w:rPr>
                <w:sz w:val="18"/>
              </w:rPr>
              <w:t xml:space="preserve">Share of agricultural land practicing  nutrient management* </w:t>
            </w:r>
            <w:r w:rsidRPr="00871047">
              <w:rPr>
                <w:color w:val="000099"/>
                <w:sz w:val="18"/>
              </w:rPr>
              <w:t>(percent)</w:t>
            </w:r>
          </w:p>
        </w:tc>
        <w:tc>
          <w:tcPr>
            <w:tcW w:w="2250" w:type="dxa"/>
          </w:tcPr>
          <w:p w14:paraId="07785834" w14:textId="77777777" w:rsidR="00147C9D" w:rsidRPr="00457D59" w:rsidRDefault="00147C9D" w:rsidP="00582224">
            <w:pPr>
              <w:rPr>
                <w:sz w:val="20"/>
                <w:szCs w:val="20"/>
              </w:rPr>
            </w:pPr>
            <w:r w:rsidRPr="00457D59">
              <w:rPr>
                <w:sz w:val="20"/>
                <w:szCs w:val="20"/>
              </w:rPr>
              <w:t xml:space="preserve">Share of cropland under integrated pest management </w:t>
            </w:r>
            <w:r w:rsidRPr="00457D59">
              <w:rPr>
                <w:color w:val="000099"/>
                <w:sz w:val="20"/>
                <w:szCs w:val="20"/>
              </w:rPr>
              <w:t>(percent)</w:t>
            </w:r>
          </w:p>
        </w:tc>
      </w:tr>
      <w:tr w:rsidR="00147C9D" w:rsidRPr="00457D59" w14:paraId="2A70F28B" w14:textId="77777777" w:rsidTr="00871047">
        <w:tc>
          <w:tcPr>
            <w:tcW w:w="1290" w:type="dxa"/>
          </w:tcPr>
          <w:p w14:paraId="5865A076" w14:textId="77777777" w:rsidR="00147C9D" w:rsidRPr="00871047" w:rsidRDefault="00147C9D" w:rsidP="00582224">
            <w:pPr>
              <w:rPr>
                <w:b/>
                <w:sz w:val="18"/>
              </w:rPr>
            </w:pPr>
            <w:r w:rsidRPr="00871047">
              <w:rPr>
                <w:b/>
                <w:sz w:val="18"/>
              </w:rPr>
              <w:t>Performance</w:t>
            </w:r>
          </w:p>
        </w:tc>
        <w:tc>
          <w:tcPr>
            <w:tcW w:w="2130" w:type="dxa"/>
          </w:tcPr>
          <w:p w14:paraId="4DC9AD34" w14:textId="77777777" w:rsidR="00147C9D" w:rsidRPr="00871047" w:rsidRDefault="00147C9D" w:rsidP="00582224">
            <w:pPr>
              <w:rPr>
                <w:color w:val="000099"/>
                <w:sz w:val="18"/>
              </w:rPr>
            </w:pPr>
            <w:r w:rsidRPr="00871047">
              <w:rPr>
                <w:sz w:val="18"/>
              </w:rPr>
              <w:t xml:space="preserve">(1) Crop production per drop of water </w:t>
            </w:r>
            <w:r w:rsidRPr="00871047">
              <w:rPr>
                <w:color w:val="000099"/>
                <w:sz w:val="18"/>
              </w:rPr>
              <w:t>(tonnes of crop produced per m</w:t>
            </w:r>
            <w:r w:rsidRPr="00871047">
              <w:rPr>
                <w:color w:val="000099"/>
                <w:sz w:val="18"/>
                <w:vertAlign w:val="superscript"/>
              </w:rPr>
              <w:t>3</w:t>
            </w:r>
            <w:r w:rsidRPr="00871047">
              <w:rPr>
                <w:color w:val="000099"/>
                <w:sz w:val="18"/>
              </w:rPr>
              <w:t xml:space="preserve"> water per year)</w:t>
            </w:r>
          </w:p>
          <w:p w14:paraId="4D0671AA" w14:textId="77777777" w:rsidR="00147C9D" w:rsidRPr="00871047" w:rsidRDefault="00147C9D" w:rsidP="00582224">
            <w:pPr>
              <w:rPr>
                <w:i/>
                <w:sz w:val="18"/>
              </w:rPr>
            </w:pPr>
            <w:r w:rsidRPr="00871047">
              <w:rPr>
                <w:i/>
                <w:sz w:val="18"/>
              </w:rPr>
              <w:t xml:space="preserve">in combination with </w:t>
            </w:r>
          </w:p>
          <w:p w14:paraId="0B43756E" w14:textId="77777777" w:rsidR="00147C9D" w:rsidRPr="00871047" w:rsidRDefault="00147C9D" w:rsidP="00582224">
            <w:pPr>
              <w:rPr>
                <w:sz w:val="18"/>
              </w:rPr>
            </w:pPr>
            <w:r w:rsidRPr="00871047">
              <w:rPr>
                <w:sz w:val="18"/>
              </w:rPr>
              <w:t xml:space="preserve">(2) Water stress ratio </w:t>
            </w:r>
            <w:r w:rsidRPr="00871047">
              <w:rPr>
                <w:color w:val="000099"/>
                <w:sz w:val="18"/>
              </w:rPr>
              <w:t>(water demand in m</w:t>
            </w:r>
            <w:r w:rsidRPr="00871047">
              <w:rPr>
                <w:color w:val="000099"/>
                <w:sz w:val="18"/>
                <w:vertAlign w:val="superscript"/>
              </w:rPr>
              <w:t>3</w:t>
            </w:r>
            <w:r w:rsidRPr="00871047">
              <w:rPr>
                <w:color w:val="000099"/>
                <w:sz w:val="18"/>
              </w:rPr>
              <w:t xml:space="preserve"> / water supply in m</w:t>
            </w:r>
            <w:r w:rsidRPr="00871047">
              <w:rPr>
                <w:color w:val="000099"/>
                <w:sz w:val="18"/>
                <w:vertAlign w:val="superscript"/>
              </w:rPr>
              <w:t>3</w:t>
            </w:r>
            <w:r w:rsidRPr="00871047">
              <w:rPr>
                <w:color w:val="000099"/>
                <w:sz w:val="18"/>
              </w:rPr>
              <w:t>)</w:t>
            </w:r>
          </w:p>
        </w:tc>
        <w:tc>
          <w:tcPr>
            <w:tcW w:w="1620" w:type="dxa"/>
            <w:gridSpan w:val="2"/>
          </w:tcPr>
          <w:p w14:paraId="35FCBB4D" w14:textId="77777777" w:rsidR="00147C9D" w:rsidRPr="00871047" w:rsidRDefault="00147C9D" w:rsidP="00582224">
            <w:pPr>
              <w:rPr>
                <w:sz w:val="18"/>
              </w:rPr>
            </w:pPr>
            <w:r w:rsidRPr="00871047">
              <w:rPr>
                <w:sz w:val="18"/>
              </w:rPr>
              <w:t xml:space="preserve">Food production per unit of GHG emissions* </w:t>
            </w:r>
            <w:r w:rsidRPr="00871047">
              <w:rPr>
                <w:color w:val="000099"/>
                <w:sz w:val="18"/>
              </w:rPr>
              <w:t>(tonnes of food produced per year per tonne of CO</w:t>
            </w:r>
            <w:r w:rsidRPr="00871047">
              <w:rPr>
                <w:color w:val="000099"/>
                <w:sz w:val="20"/>
                <w:vertAlign w:val="subscript"/>
              </w:rPr>
              <w:t>2</w:t>
            </w:r>
            <w:r w:rsidRPr="00871047">
              <w:rPr>
                <w:color w:val="000099"/>
                <w:sz w:val="18"/>
              </w:rPr>
              <w:t>-equivalent)</w:t>
            </w:r>
          </w:p>
        </w:tc>
        <w:tc>
          <w:tcPr>
            <w:tcW w:w="2070" w:type="dxa"/>
          </w:tcPr>
          <w:p w14:paraId="3BAA579C" w14:textId="77777777" w:rsidR="00147C9D" w:rsidRPr="00871047" w:rsidRDefault="00147C9D" w:rsidP="00582224">
            <w:pPr>
              <w:rPr>
                <w:sz w:val="18"/>
              </w:rPr>
            </w:pPr>
            <w:r w:rsidRPr="00871047">
              <w:rPr>
                <w:sz w:val="18"/>
              </w:rPr>
              <w:t xml:space="preserve">Conversion of natural land (e.g., forests, wetlands) to agricultural land (crop and pasture)* </w:t>
            </w:r>
            <w:r w:rsidRPr="00871047">
              <w:rPr>
                <w:color w:val="000099"/>
                <w:sz w:val="18"/>
              </w:rPr>
              <w:t>(hectares of converted land per year)</w:t>
            </w:r>
          </w:p>
        </w:tc>
        <w:tc>
          <w:tcPr>
            <w:tcW w:w="2610" w:type="dxa"/>
          </w:tcPr>
          <w:p w14:paraId="10EFBEF6" w14:textId="77777777" w:rsidR="00147C9D" w:rsidRPr="00871047" w:rsidRDefault="00147C9D" w:rsidP="00582224">
            <w:pPr>
              <w:rPr>
                <w:sz w:val="18"/>
              </w:rPr>
            </w:pPr>
            <w:r w:rsidRPr="00871047">
              <w:rPr>
                <w:sz w:val="18"/>
              </w:rPr>
              <w:t xml:space="preserve">(1) Share of agricultural land affected by soil erosion* </w:t>
            </w:r>
            <w:r w:rsidRPr="00871047">
              <w:rPr>
                <w:color w:val="000099"/>
                <w:sz w:val="18"/>
              </w:rPr>
              <w:t>(percent)</w:t>
            </w:r>
          </w:p>
          <w:p w14:paraId="587D9B30" w14:textId="77777777" w:rsidR="00147C9D" w:rsidRPr="00871047" w:rsidRDefault="00147C9D" w:rsidP="00871047">
            <w:pPr>
              <w:rPr>
                <w:i/>
                <w:sz w:val="18"/>
              </w:rPr>
            </w:pPr>
            <w:r w:rsidRPr="00871047">
              <w:rPr>
                <w:i/>
                <w:sz w:val="18"/>
              </w:rPr>
              <w:t>and/or</w:t>
            </w:r>
          </w:p>
          <w:p w14:paraId="65B766A3" w14:textId="70887F64" w:rsidR="00147C9D" w:rsidRPr="00871047" w:rsidRDefault="00147C9D" w:rsidP="00582224">
            <w:pPr>
              <w:rPr>
                <w:color w:val="000099"/>
                <w:sz w:val="18"/>
              </w:rPr>
            </w:pPr>
            <w:r w:rsidRPr="00871047">
              <w:rPr>
                <w:sz w:val="18"/>
              </w:rPr>
              <w:t xml:space="preserve">(2) Percent change in net primary productivity (NPP) across agricultural land* </w:t>
            </w:r>
            <w:r w:rsidRPr="00871047">
              <w:rPr>
                <w:color w:val="000099"/>
                <w:sz w:val="18"/>
              </w:rPr>
              <w:t xml:space="preserve">(percent) </w:t>
            </w:r>
          </w:p>
          <w:p w14:paraId="47E97220" w14:textId="77777777" w:rsidR="00147C9D" w:rsidRPr="00147C9D" w:rsidRDefault="00147C9D" w:rsidP="00582224">
            <w:pPr>
              <w:rPr>
                <w:sz w:val="18"/>
                <w:szCs w:val="18"/>
              </w:rPr>
            </w:pPr>
            <w:r w:rsidRPr="00871047">
              <w:rPr>
                <w:i/>
                <w:sz w:val="18"/>
              </w:rPr>
              <w:t>and/or</w:t>
            </w:r>
          </w:p>
          <w:p w14:paraId="61CC1994" w14:textId="77777777" w:rsidR="00147C9D" w:rsidRPr="00871047" w:rsidRDefault="00147C9D" w:rsidP="00582224">
            <w:pPr>
              <w:rPr>
                <w:sz w:val="18"/>
              </w:rPr>
            </w:pPr>
            <w:r w:rsidRPr="00871047">
              <w:rPr>
                <w:sz w:val="18"/>
              </w:rPr>
              <w:t xml:space="preserve">(3) Soil organic matter (carbon) content </w:t>
            </w:r>
            <w:r w:rsidRPr="00871047">
              <w:rPr>
                <w:color w:val="000099"/>
                <w:sz w:val="18"/>
              </w:rPr>
              <w:t>(tonnes C per hectare)</w:t>
            </w:r>
          </w:p>
        </w:tc>
        <w:tc>
          <w:tcPr>
            <w:tcW w:w="2610" w:type="dxa"/>
          </w:tcPr>
          <w:p w14:paraId="6DFE2871" w14:textId="77777777" w:rsidR="00147C9D" w:rsidRPr="00871047" w:rsidRDefault="00147C9D" w:rsidP="00582224">
            <w:pPr>
              <w:rPr>
                <w:sz w:val="18"/>
              </w:rPr>
            </w:pPr>
            <w:r w:rsidRPr="00871047">
              <w:rPr>
                <w:sz w:val="18"/>
              </w:rPr>
              <w:t xml:space="preserve">(1) Nutrient input balances on agricultural land (i.e., difference between N &amp; P inputs and outputs)* </w:t>
            </w:r>
            <w:r w:rsidRPr="00871047">
              <w:rPr>
                <w:color w:val="000099"/>
                <w:sz w:val="18"/>
              </w:rPr>
              <w:t>(kg N &amp; P per hectare of  agricultural land)</w:t>
            </w:r>
          </w:p>
          <w:p w14:paraId="4A62638C" w14:textId="77777777" w:rsidR="00147C9D" w:rsidRPr="00871047" w:rsidRDefault="00147C9D" w:rsidP="00582224">
            <w:pPr>
              <w:spacing w:after="60"/>
              <w:rPr>
                <w:i/>
                <w:sz w:val="18"/>
              </w:rPr>
            </w:pPr>
            <w:r w:rsidRPr="00871047">
              <w:rPr>
                <w:i/>
                <w:sz w:val="18"/>
              </w:rPr>
              <w:t>and/or</w:t>
            </w:r>
          </w:p>
          <w:p w14:paraId="3B91CC4C" w14:textId="3F8C19E9" w:rsidR="00147C9D" w:rsidRPr="00871047" w:rsidRDefault="00147C9D" w:rsidP="00582224">
            <w:pPr>
              <w:rPr>
                <w:sz w:val="18"/>
              </w:rPr>
            </w:pPr>
            <w:r w:rsidRPr="00871047">
              <w:rPr>
                <w:sz w:val="18"/>
              </w:rPr>
              <w:t xml:space="preserve">(2) Fertilizer </w:t>
            </w:r>
            <w:r w:rsidRPr="00147C9D">
              <w:rPr>
                <w:sz w:val="18"/>
                <w:szCs w:val="18"/>
              </w:rPr>
              <w:t>applied</w:t>
            </w:r>
            <w:r w:rsidRPr="00871047">
              <w:rPr>
                <w:sz w:val="18"/>
              </w:rPr>
              <w:t xml:space="preserve"> per unit of arable land </w:t>
            </w:r>
            <w:r w:rsidRPr="00871047">
              <w:rPr>
                <w:color w:val="000099"/>
                <w:sz w:val="18"/>
              </w:rPr>
              <w:t>(tonnes of nutrients per hectare of arable land)</w:t>
            </w:r>
          </w:p>
        </w:tc>
        <w:tc>
          <w:tcPr>
            <w:tcW w:w="2250" w:type="dxa"/>
          </w:tcPr>
          <w:p w14:paraId="635762AA" w14:textId="77777777" w:rsidR="00147C9D" w:rsidRPr="00457D59" w:rsidRDefault="00147C9D" w:rsidP="00582224">
            <w:pPr>
              <w:rPr>
                <w:sz w:val="20"/>
                <w:szCs w:val="20"/>
              </w:rPr>
            </w:pPr>
            <w:r w:rsidRPr="00457D59">
              <w:rPr>
                <w:sz w:val="20"/>
                <w:szCs w:val="20"/>
              </w:rPr>
              <w:t xml:space="preserve">Pesticide use per unit of cropland </w:t>
            </w:r>
            <w:r w:rsidRPr="00457D59">
              <w:rPr>
                <w:color w:val="000099"/>
                <w:sz w:val="20"/>
                <w:szCs w:val="20"/>
              </w:rPr>
              <w:t>(tonnes of active ingredient applied per hectare)</w:t>
            </w:r>
          </w:p>
        </w:tc>
      </w:tr>
    </w:tbl>
    <w:p w14:paraId="2578AF85" w14:textId="77777777" w:rsidR="00F763A5" w:rsidRDefault="00F763A5" w:rsidP="00F763A5">
      <w:pPr>
        <w:spacing w:line="240" w:lineRule="auto"/>
        <w:sectPr w:rsidR="00F763A5" w:rsidSect="00EA29BD">
          <w:endnotePr>
            <w:numFmt w:val="decimal"/>
          </w:endnotePr>
          <w:pgSz w:w="15840" w:h="12240" w:orient="landscape"/>
          <w:pgMar w:top="1440" w:right="1440" w:bottom="1440" w:left="1440" w:header="720" w:footer="720" w:gutter="0"/>
          <w:cols w:space="720"/>
          <w:docGrid w:linePitch="360"/>
        </w:sectPr>
      </w:pPr>
    </w:p>
    <w:p w14:paraId="14BA623A" w14:textId="127C9C5D" w:rsidR="00FA2439" w:rsidRPr="00F54AE6" w:rsidRDefault="00BF6204" w:rsidP="000D6158">
      <w:pPr>
        <w:pStyle w:val="Overskrift1"/>
        <w:numPr>
          <w:ilvl w:val="0"/>
          <w:numId w:val="4"/>
        </w:numPr>
        <w:spacing w:before="0" w:line="240" w:lineRule="auto"/>
        <w:ind w:left="450" w:hanging="450"/>
        <w:rPr>
          <w:rFonts w:asciiTheme="minorHAnsi" w:hAnsiTheme="minorHAnsi"/>
          <w:caps/>
          <w:color w:val="000099"/>
          <w:sz w:val="22"/>
          <w:szCs w:val="22"/>
        </w:rPr>
      </w:pPr>
      <w:bookmarkStart w:id="6" w:name="_Toc386694773"/>
      <w:bookmarkStart w:id="7" w:name="_Toc387076753"/>
      <w:r>
        <w:rPr>
          <w:rFonts w:asciiTheme="minorHAnsi" w:hAnsiTheme="minorHAnsi"/>
          <w:caps/>
          <w:color w:val="000099"/>
          <w:sz w:val="22"/>
          <w:szCs w:val="22"/>
        </w:rPr>
        <w:lastRenderedPageBreak/>
        <w:t>INDICATORS AND A SUSTAINABLE FOOD FUTURE</w:t>
      </w:r>
      <w:bookmarkEnd w:id="6"/>
      <w:bookmarkEnd w:id="7"/>
    </w:p>
    <w:p w14:paraId="4D56FD6C" w14:textId="77777777" w:rsidR="000F1B53" w:rsidRPr="00D20E8D" w:rsidRDefault="000F1B53" w:rsidP="00D20E8D">
      <w:pPr>
        <w:spacing w:after="0" w:line="240" w:lineRule="auto"/>
      </w:pPr>
    </w:p>
    <w:p w14:paraId="5D356154" w14:textId="77777777" w:rsidR="00391BC3" w:rsidRPr="009C4434" w:rsidRDefault="00391BC3" w:rsidP="00391BC3">
      <w:pPr>
        <w:spacing w:after="0" w:line="240" w:lineRule="auto"/>
        <w:rPr>
          <w:rFonts w:ascii="Calibri" w:eastAsia="Times New Roman" w:hAnsi="Calibri" w:cs="Times New Roman"/>
        </w:rPr>
      </w:pPr>
      <w:r>
        <w:rPr>
          <w:rFonts w:ascii="Calibri" w:eastAsia="Calibri" w:hAnsi="Calibri" w:cs="Times New Roman"/>
        </w:rPr>
        <w:t>The</w:t>
      </w:r>
      <w:r w:rsidRPr="009C4434">
        <w:rPr>
          <w:rFonts w:ascii="Calibri" w:eastAsia="Calibri" w:hAnsi="Calibri" w:cs="Times New Roman"/>
        </w:rPr>
        <w:t xml:space="preserve"> World Resources Report’s </w:t>
      </w:r>
      <w:r w:rsidRPr="009C4434">
        <w:rPr>
          <w:rFonts w:ascii="Calibri" w:eastAsia="Calibri" w:hAnsi="Calibri" w:cs="Times New Roman"/>
          <w:i/>
        </w:rPr>
        <w:t>Creating a Sustainable Food Future:  Interim Findings</w:t>
      </w:r>
      <w:r>
        <w:rPr>
          <w:rFonts w:ascii="Calibri" w:eastAsia="Calibri" w:hAnsi="Calibri" w:cs="Times New Roman"/>
        </w:rPr>
        <w:t xml:space="preserve"> </w:t>
      </w:r>
      <w:r w:rsidRPr="009C4434">
        <w:rPr>
          <w:rFonts w:ascii="Calibri" w:eastAsia="Calibri" w:hAnsi="Calibri" w:cs="Times New Roman"/>
        </w:rPr>
        <w:t>describe</w:t>
      </w:r>
      <w:r>
        <w:rPr>
          <w:rFonts w:ascii="Calibri" w:eastAsia="Calibri" w:hAnsi="Calibri" w:cs="Times New Roman"/>
        </w:rPr>
        <w:t>s</w:t>
      </w:r>
      <w:r w:rsidRPr="009C4434">
        <w:rPr>
          <w:rFonts w:ascii="Calibri" w:eastAsia="Calibri" w:hAnsi="Calibri" w:cs="Times New Roman"/>
        </w:rPr>
        <w:t xml:space="preserve"> how the world </w:t>
      </w:r>
      <w:r w:rsidRPr="009C4434">
        <w:rPr>
          <w:rFonts w:ascii="Calibri" w:eastAsia="Times New Roman" w:hAnsi="Calibri" w:cs="Times New Roman"/>
        </w:rPr>
        <w:t>faces a great balancing act of three needs</w:t>
      </w:r>
      <w:r>
        <w:rPr>
          <w:rFonts w:ascii="Calibri" w:eastAsia="Times New Roman" w:hAnsi="Calibri" w:cs="Times New Roman"/>
        </w:rPr>
        <w:t xml:space="preserve"> (</w:t>
      </w:r>
      <w:r w:rsidRPr="009C4434">
        <w:rPr>
          <w:rFonts w:ascii="Calibri" w:eastAsia="Times New Roman" w:hAnsi="Calibri" w:cs="Times New Roman"/>
          <w:color w:val="000099"/>
        </w:rPr>
        <w:t>Box 1</w:t>
      </w:r>
      <w:r>
        <w:rPr>
          <w:rFonts w:ascii="Calibri" w:eastAsia="Times New Roman" w:hAnsi="Calibri" w:cs="Times New Roman"/>
        </w:rPr>
        <w:t>)</w:t>
      </w:r>
      <w:r w:rsidRPr="009C4434">
        <w:rPr>
          <w:rFonts w:ascii="Calibri" w:eastAsia="Times New Roman" w:hAnsi="Calibri" w:cs="Times New Roman"/>
        </w:rPr>
        <w:t xml:space="preserve">. It needs to close </w:t>
      </w:r>
      <w:r w:rsidRPr="009C4434">
        <w:rPr>
          <w:rFonts w:ascii="Calibri" w:eastAsia="Cambria" w:hAnsi="Calibri" w:cs="Times New Roman"/>
        </w:rPr>
        <w:t>a 6,</w:t>
      </w:r>
      <w:r w:rsidRPr="009C4434">
        <w:rPr>
          <w:rFonts w:ascii="Calibri" w:eastAsia="Times New Roman" w:hAnsi="Calibri" w:cs="Times New Roman"/>
        </w:rPr>
        <w:t>500</w:t>
      </w:r>
      <w:r w:rsidRPr="009C4434">
        <w:rPr>
          <w:rFonts w:ascii="Calibri" w:eastAsia="Cambria" w:hAnsi="Calibri" w:cs="Times New Roman"/>
        </w:rPr>
        <w:t xml:space="preserve"> trillion</w:t>
      </w:r>
      <w:r w:rsidRPr="009C4434">
        <w:rPr>
          <w:rFonts w:ascii="Calibri" w:eastAsia="Times New Roman" w:hAnsi="Calibri" w:cs="Times New Roman"/>
        </w:rPr>
        <w:t xml:space="preserve"> kcal per year gap between the food available in 2006 and that required in 2050―a </w:t>
      </w:r>
      <w:r w:rsidRPr="009C4434">
        <w:rPr>
          <w:rFonts w:ascii="Calibri" w:eastAsia="Cambria" w:hAnsi="Calibri" w:cs="Times New Roman"/>
        </w:rPr>
        <w:t>69</w:t>
      </w:r>
      <w:r w:rsidRPr="009C4434">
        <w:rPr>
          <w:rFonts w:ascii="Calibri" w:eastAsia="Times New Roman" w:hAnsi="Calibri" w:cs="Times New Roman"/>
        </w:rPr>
        <w:t xml:space="preserve"> percent increase from 2006 levels―to adequately feed the planet. It needs agriculture to contribute to economic and social development. And it needs agriculture to reduce its impact on climate, water, and ecosystems.  </w:t>
      </w:r>
    </w:p>
    <w:p w14:paraId="63E3B84B" w14:textId="77777777" w:rsidR="00391BC3" w:rsidRPr="009C4434" w:rsidRDefault="00391BC3" w:rsidP="00391BC3">
      <w:pPr>
        <w:spacing w:after="0" w:line="240" w:lineRule="auto"/>
        <w:rPr>
          <w:rFonts w:ascii="Calibri" w:eastAsia="Times New Roman" w:hAnsi="Calibri" w:cs="Times New Roman"/>
        </w:rPr>
      </w:pPr>
    </w:p>
    <w:p w14:paraId="3221FADA" w14:textId="1D764229" w:rsidR="00391BC3" w:rsidRDefault="00391BC3" w:rsidP="00391BC3">
      <w:pPr>
        <w:spacing w:after="0" w:line="240" w:lineRule="auto"/>
        <w:rPr>
          <w:rFonts w:eastAsia="Calibri"/>
        </w:rPr>
      </w:pPr>
      <w:r>
        <w:rPr>
          <w:rFonts w:ascii="Calibri" w:eastAsia="Times New Roman" w:hAnsi="Calibri" w:cs="Times New Roman"/>
        </w:rPr>
        <w:t>The working paper series and interim findings of</w:t>
      </w:r>
      <w:r w:rsidRPr="009C4434">
        <w:rPr>
          <w:rFonts w:ascii="Calibri" w:eastAsia="Times New Roman" w:hAnsi="Calibri" w:cs="Times New Roman"/>
        </w:rPr>
        <w:t xml:space="preserve"> </w:t>
      </w:r>
      <w:r w:rsidRPr="009C4434">
        <w:rPr>
          <w:rFonts w:ascii="Calibri" w:eastAsia="Calibri" w:hAnsi="Calibri" w:cs="Times New Roman"/>
          <w:i/>
        </w:rPr>
        <w:t>Creating a Sustainable Food Future</w:t>
      </w:r>
      <w:r>
        <w:rPr>
          <w:rFonts w:ascii="Calibri" w:eastAsia="Calibri" w:hAnsi="Calibri" w:cs="Times New Roman"/>
        </w:rPr>
        <w:t xml:space="preserve"> </w:t>
      </w:r>
      <w:r w:rsidRPr="009C4434">
        <w:rPr>
          <w:rFonts w:ascii="Calibri" w:eastAsia="Times New Roman" w:hAnsi="Calibri" w:cs="Times New Roman"/>
        </w:rPr>
        <w:t>explore a menu of solutions that could combine to meet these three needs.</w:t>
      </w:r>
      <w:r>
        <w:rPr>
          <w:rFonts w:ascii="Calibri" w:eastAsia="Times New Roman" w:hAnsi="Calibri" w:cs="Times New Roman"/>
        </w:rPr>
        <w:t xml:space="preserve"> While each of the installments to date has profiled one menu item, this installment focuses on how to measure progress towards achie</w:t>
      </w:r>
      <w:r w:rsidR="00E11418">
        <w:rPr>
          <w:rFonts w:ascii="Calibri" w:eastAsia="Times New Roman" w:hAnsi="Calibri" w:cs="Times New Roman"/>
        </w:rPr>
        <w:t>ving a sustainable food future.</w:t>
      </w:r>
      <w:r>
        <w:rPr>
          <w:rFonts w:ascii="Calibri" w:eastAsia="Times New Roman" w:hAnsi="Calibri" w:cs="Times New Roman"/>
        </w:rPr>
        <w:t xml:space="preserve"> In particular, it focuses on possible indicators of the environmental sustainability of agriculture</w:t>
      </w:r>
      <w:r w:rsidR="003F5535">
        <w:rPr>
          <w:rFonts w:ascii="Calibri" w:eastAsia="Times New Roman" w:hAnsi="Calibri" w:cs="Times New Roman"/>
        </w:rPr>
        <w:t>. Such i</w:t>
      </w:r>
      <w:r w:rsidR="00E11418">
        <w:rPr>
          <w:rFonts w:ascii="Calibri" w:eastAsia="Times New Roman" w:hAnsi="Calibri" w:cs="Times New Roman"/>
        </w:rPr>
        <w:t>ndicators</w:t>
      </w:r>
      <w:r>
        <w:rPr>
          <w:rFonts w:ascii="Calibri" w:eastAsia="Times New Roman" w:hAnsi="Calibri" w:cs="Times New Roman"/>
        </w:rPr>
        <w:t xml:space="preserve"> </w:t>
      </w:r>
      <w:r w:rsidR="003F5535">
        <w:rPr>
          <w:rFonts w:eastAsia="Calibri"/>
        </w:rPr>
        <w:t>w</w:t>
      </w:r>
      <w:r>
        <w:rPr>
          <w:rFonts w:eastAsia="Calibri"/>
        </w:rPr>
        <w:t>ould</w:t>
      </w:r>
      <w:r w:rsidRPr="001B0850">
        <w:rPr>
          <w:rFonts w:eastAsia="Calibri"/>
        </w:rPr>
        <w:t xml:space="preserve"> communicate to policymakers, farmers, the private sector, and civil society the degree to which these menu items in aggregate are having an impact in moving agriculture on to a sustainable trajectory</w:t>
      </w:r>
      <w:r>
        <w:rPr>
          <w:rFonts w:eastAsia="Calibri"/>
        </w:rPr>
        <w:t xml:space="preserve">.  </w:t>
      </w:r>
    </w:p>
    <w:p w14:paraId="73C359DB" w14:textId="77777777" w:rsidR="006E0C9F" w:rsidRDefault="006E0C9F" w:rsidP="00391BC3">
      <w:pPr>
        <w:spacing w:after="0" w:line="240" w:lineRule="auto"/>
      </w:pPr>
    </w:p>
    <w:p w14:paraId="3CFA219F" w14:textId="66506BCB" w:rsidR="005739E1" w:rsidRDefault="005739E1" w:rsidP="00391BC3">
      <w:pPr>
        <w:spacing w:after="0" w:line="240" w:lineRule="auto"/>
      </w:pPr>
      <w:r>
        <w:t xml:space="preserve">We </w:t>
      </w:r>
      <w:r w:rsidR="00A162A1">
        <w:t xml:space="preserve">originally </w:t>
      </w:r>
      <w:r>
        <w:t xml:space="preserve">conducted this analysis of </w:t>
      </w:r>
      <w:r w:rsidR="003F5535">
        <w:t xml:space="preserve">potential </w:t>
      </w:r>
      <w:r>
        <w:t xml:space="preserve">indicators </w:t>
      </w:r>
      <w:r w:rsidR="00A162A1">
        <w:t xml:space="preserve">in order to </w:t>
      </w:r>
      <w:r>
        <w:t>in</w:t>
      </w:r>
      <w:r w:rsidR="00A162A1">
        <w:t xml:space="preserve">form the design of a proposed Agricultural Transformation Index (ATI). </w:t>
      </w:r>
      <w:r w:rsidR="0014391C">
        <w:t>Supported</w:t>
      </w:r>
      <w:r w:rsidR="00A162A1">
        <w:t xml:space="preserve"> by the government</w:t>
      </w:r>
      <w:r w:rsidR="008F0E4A">
        <w:t>s of Denmark</w:t>
      </w:r>
      <w:r w:rsidR="00A162A1">
        <w:t xml:space="preserve"> and </w:t>
      </w:r>
      <w:r w:rsidR="008F0E4A">
        <w:t>the United States</w:t>
      </w:r>
      <w:r w:rsidR="00A162A1">
        <w:t xml:space="preserve"> and other</w:t>
      </w:r>
      <w:r w:rsidR="00902257">
        <w:t xml:space="preserve"> organization</w:t>
      </w:r>
      <w:r w:rsidR="00A162A1">
        <w:t xml:space="preserve">s, the ATI would be designed to </w:t>
      </w:r>
      <w:r w:rsidR="00A162A1" w:rsidRPr="00E16EFB">
        <w:t xml:space="preserve">guide </w:t>
      </w:r>
      <w:r w:rsidR="0014391C">
        <w:t>public</w:t>
      </w:r>
      <w:r w:rsidR="00A162A1">
        <w:t xml:space="preserve"> and private sector decision-making</w:t>
      </w:r>
      <w:r w:rsidR="00A162A1" w:rsidRPr="00E16EFB">
        <w:t xml:space="preserve"> </w:t>
      </w:r>
      <w:r w:rsidR="00A162A1">
        <w:t>by showing</w:t>
      </w:r>
      <w:r w:rsidR="00A162A1" w:rsidRPr="00E16EFB">
        <w:t xml:space="preserve"> “</w:t>
      </w:r>
      <w:r w:rsidR="00A162A1">
        <w:t>in which countries is</w:t>
      </w:r>
      <w:r w:rsidR="00A162A1" w:rsidRPr="00E16EFB">
        <w:t xml:space="preserve"> it good to be a farmer or </w:t>
      </w:r>
      <w:r w:rsidR="00A162A1">
        <w:t xml:space="preserve">conduct </w:t>
      </w:r>
      <w:r w:rsidR="00A162A1" w:rsidRPr="00E16EFB">
        <w:t xml:space="preserve">agribusiness” and where policy initiatives </w:t>
      </w:r>
      <w:r w:rsidR="00A162A1">
        <w:t xml:space="preserve">are needed to </w:t>
      </w:r>
      <w:r w:rsidR="00A162A1" w:rsidRPr="00E16EFB">
        <w:t>promote inclusive and sustainable growth in the agricultural sector</w:t>
      </w:r>
      <w:r w:rsidR="00A162A1">
        <w:t xml:space="preserve">. </w:t>
      </w:r>
      <w:r w:rsidR="0014391C">
        <w:t>Suggested components of the ATI were</w:t>
      </w:r>
      <w:r w:rsidR="0014391C" w:rsidRPr="000F308F">
        <w:t xml:space="preserve"> </w:t>
      </w:r>
      <w:r w:rsidR="0014391C">
        <w:t>agribusiness, policy-induced</w:t>
      </w:r>
      <w:r w:rsidR="0014391C" w:rsidRPr="00B5520B">
        <w:t xml:space="preserve"> </w:t>
      </w:r>
      <w:r w:rsidR="0014391C">
        <w:t xml:space="preserve">distortions, public investments, agricultural knowledge and technology systems, smallholder productivity, and environmental sustainability. </w:t>
      </w:r>
      <w:r w:rsidR="00A162A1">
        <w:t xml:space="preserve">Our task was to </w:t>
      </w:r>
      <w:r w:rsidR="0014391C">
        <w:t>evaluate</w:t>
      </w:r>
      <w:r w:rsidR="00A162A1">
        <w:t xml:space="preserve"> candidate indicators </w:t>
      </w:r>
      <w:r w:rsidR="0014391C">
        <w:t>for the</w:t>
      </w:r>
      <w:r w:rsidR="00A162A1">
        <w:t xml:space="preserve"> environmental sustainability in </w:t>
      </w:r>
      <w:r w:rsidR="00464F41">
        <w:t xml:space="preserve">agriculture </w:t>
      </w:r>
      <w:r w:rsidR="0014391C">
        <w:t>component</w:t>
      </w:r>
      <w:r w:rsidR="00A162A1">
        <w:t>.</w:t>
      </w:r>
    </w:p>
    <w:p w14:paraId="708F46DD" w14:textId="77777777" w:rsidR="00391BC3" w:rsidRDefault="00391BC3" w:rsidP="00391BC3">
      <w:pPr>
        <w:spacing w:after="0" w:line="240" w:lineRule="auto"/>
      </w:pPr>
    </w:p>
    <w:p w14:paraId="439E6E97" w14:textId="36443FDC" w:rsidR="00391BC3" w:rsidRDefault="005739E1" w:rsidP="00391BC3">
      <w:pPr>
        <w:spacing w:after="0" w:line="240" w:lineRule="auto"/>
      </w:pPr>
      <w:r>
        <w:t xml:space="preserve">Per request of those supporting the ATI development process, </w:t>
      </w:r>
      <w:r w:rsidR="00391BC3">
        <w:t xml:space="preserve">we set several boundaries for the scoping exercise. First, it covered only land-based agriculture, and not </w:t>
      </w:r>
      <w:r>
        <w:t xml:space="preserve">wild </w:t>
      </w:r>
      <w:r w:rsidR="00391BC3">
        <w:t xml:space="preserve">fisheries or aquaculture, </w:t>
      </w:r>
      <w:r>
        <w:t>since the scope of the ATI was land-based agriculture</w:t>
      </w:r>
      <w:r w:rsidR="00391BC3">
        <w:t>. Second, it considered only the environmental dimension of sustainability and not the social or economic dimension</w:t>
      </w:r>
      <w:r>
        <w:t>s</w:t>
      </w:r>
      <w:r w:rsidR="00391BC3">
        <w:t>, since the latter may be captured in other indexes being considered for development.</w:t>
      </w:r>
      <w:r w:rsidR="00391BC3">
        <w:rPr>
          <w:rStyle w:val="Slutnotehenvisning"/>
        </w:rPr>
        <w:endnoteReference w:id="2"/>
      </w:r>
      <w:r w:rsidR="00391BC3">
        <w:t xml:space="preserve"> Third, it</w:t>
      </w:r>
      <w:r w:rsidR="00E11418">
        <w:t xml:space="preserve">s geographic scale was </w:t>
      </w:r>
      <w:r w:rsidR="00E70849">
        <w:t>at the national level</w:t>
      </w:r>
      <w:r w:rsidR="00391BC3">
        <w:t>, since the purpose of the proposed ATI was to publish national i</w:t>
      </w:r>
      <w:r w:rsidR="00E11418">
        <w:t>ndicators and i</w:t>
      </w:r>
      <w:r w:rsidR="00391BC3">
        <w:t>ndices that</w:t>
      </w:r>
      <w:r>
        <w:t>, among other applications,</w:t>
      </w:r>
      <w:r w:rsidR="00391BC3">
        <w:t xml:space="preserve"> would compare performance between countries and thereby stimulate a “race to the top.”</w:t>
      </w:r>
    </w:p>
    <w:p w14:paraId="326CA22B" w14:textId="77777777" w:rsidR="00A162A1" w:rsidRDefault="00A162A1" w:rsidP="00391BC3">
      <w:pPr>
        <w:spacing w:after="0" w:line="240" w:lineRule="auto"/>
      </w:pPr>
    </w:p>
    <w:p w14:paraId="5907693B" w14:textId="71B2311C" w:rsidR="00A162A1" w:rsidRDefault="00A162A1" w:rsidP="00A162A1">
      <w:pPr>
        <w:spacing w:after="0" w:line="240" w:lineRule="auto"/>
      </w:pPr>
      <w:r>
        <w:t xml:space="preserve">At the time of publication, the status of </w:t>
      </w:r>
      <w:r w:rsidR="00211004">
        <w:t xml:space="preserve">overall </w:t>
      </w:r>
      <w:r>
        <w:t>ATI development is unclear. Nonetheless, our research provided insights that could inform a standalone set of indicators and inde</w:t>
      </w:r>
      <w:r w:rsidR="00777220">
        <w:t>x</w:t>
      </w:r>
      <w:r w:rsidR="00211004">
        <w:t xml:space="preserve"> on the environmental sustainability of agriculture</w:t>
      </w:r>
      <w:r w:rsidR="00777220">
        <w:t xml:space="preserve">, as well as </w:t>
      </w:r>
      <w:r w:rsidR="00F763A5">
        <w:t xml:space="preserve">contribute to </w:t>
      </w:r>
      <w:r w:rsidR="00777220">
        <w:t xml:space="preserve">other </w:t>
      </w:r>
      <w:r w:rsidR="004400D9">
        <w:t>efforts that involve indicators regarding agriculture</w:t>
      </w:r>
      <w:r w:rsidR="00777220">
        <w:t xml:space="preserve"> such as the </w:t>
      </w:r>
      <w:r w:rsidR="00211004">
        <w:t xml:space="preserve">World Bank Group’s </w:t>
      </w:r>
      <w:r w:rsidR="00777220">
        <w:t>“</w:t>
      </w:r>
      <w:r w:rsidR="00777220" w:rsidRPr="00777220">
        <w:t>Benchmarking the Business of Agriculture</w:t>
      </w:r>
      <w:r w:rsidR="00777220">
        <w:t xml:space="preserve">” project </w:t>
      </w:r>
      <w:r w:rsidR="00F763A5">
        <w:t>and efforts to establish post-2015 development goals.</w:t>
      </w:r>
    </w:p>
    <w:p w14:paraId="30057CAF" w14:textId="77777777" w:rsidR="00391BC3" w:rsidRDefault="00391BC3" w:rsidP="00391BC3">
      <w:pPr>
        <w:spacing w:after="0" w:line="240" w:lineRule="auto"/>
      </w:pPr>
    </w:p>
    <w:p w14:paraId="5D8D19A4" w14:textId="77777777" w:rsidR="00391BC3" w:rsidRDefault="00391BC3" w:rsidP="00391BC3">
      <w:pPr>
        <w:spacing w:after="0" w:line="240" w:lineRule="auto"/>
      </w:pPr>
      <w:r>
        <w:t>This working paper summarizes the results of this scoping exercise. It begins by describing the results of a landscape survey of existing indicators, indices, and datasets that address environmental sustainability of agriculture. It continues by proposing which thematic areas indicators should cover and what screening criteria to use. It then articulates a short list of candidate indicators that emerge based on application of the criteria against a long list of options. It concludes by proposing next steps for creating indicators of environmental sustainability of agriculture.</w:t>
      </w:r>
    </w:p>
    <w:p w14:paraId="50BB9F85" w14:textId="77777777" w:rsidR="00391BC3" w:rsidRDefault="00391BC3" w:rsidP="00391BC3">
      <w:pPr>
        <w:spacing w:after="0" w:line="240" w:lineRule="auto"/>
      </w:pPr>
      <w:r w:rsidRPr="000E23BD">
        <w:rPr>
          <w:rFonts w:ascii="Calibri" w:eastAsia="Cambria" w:hAnsi="Calibri" w:cs="Times New Roman"/>
          <w:noProof/>
          <w:lang w:val="da-DK" w:eastAsia="da-DK"/>
        </w:rPr>
        <w:lastRenderedPageBreak/>
        <mc:AlternateContent>
          <mc:Choice Requires="wps">
            <w:drawing>
              <wp:anchor distT="0" distB="0" distL="114300" distR="114300" simplePos="0" relativeHeight="251664384" behindDoc="0" locked="0" layoutInCell="1" allowOverlap="1" wp14:anchorId="48E3890F" wp14:editId="5C0DD2D3">
                <wp:simplePos x="0" y="0"/>
                <wp:positionH relativeFrom="column">
                  <wp:posOffset>19050</wp:posOffset>
                </wp:positionH>
                <wp:positionV relativeFrom="paragraph">
                  <wp:posOffset>184150</wp:posOffset>
                </wp:positionV>
                <wp:extent cx="6305550" cy="3162300"/>
                <wp:effectExtent l="0" t="0" r="19050" b="19050"/>
                <wp:wrapSquare wrapText="bothSides"/>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162300"/>
                        </a:xfrm>
                        <a:prstGeom prst="rect">
                          <a:avLst/>
                        </a:prstGeom>
                        <a:solidFill>
                          <a:srgbClr val="FFFFFF"/>
                        </a:solidFill>
                        <a:ln w="9525">
                          <a:solidFill>
                            <a:srgbClr val="000000"/>
                          </a:solidFill>
                          <a:miter lim="800000"/>
                          <a:headEnd/>
                          <a:tailEnd/>
                        </a:ln>
                      </wps:spPr>
                      <wps:txbx>
                        <w:txbxContent>
                          <w:p w14:paraId="7E3ECADF" w14:textId="77777777" w:rsidR="002B5F8D" w:rsidRPr="001B0850" w:rsidRDefault="002B5F8D" w:rsidP="00391BC3">
                            <w:pPr>
                              <w:spacing w:after="0" w:line="240" w:lineRule="auto"/>
                              <w:rPr>
                                <w:b/>
                              </w:rPr>
                            </w:pPr>
                            <w:r w:rsidRPr="001B0850">
                              <w:rPr>
                                <w:b/>
                              </w:rPr>
                              <w:t>Box 1.  The World Resources Report</w:t>
                            </w:r>
                          </w:p>
                          <w:p w14:paraId="49F9D47B" w14:textId="77777777" w:rsidR="002B5F8D" w:rsidRPr="001B0850" w:rsidRDefault="002B5F8D" w:rsidP="00391BC3">
                            <w:pPr>
                              <w:spacing w:after="0" w:line="240" w:lineRule="auto"/>
                              <w:rPr>
                                <w:b/>
                              </w:rPr>
                            </w:pPr>
                          </w:p>
                          <w:p w14:paraId="10595C1C" w14:textId="77777777" w:rsidR="002B5F8D" w:rsidRPr="001B0850" w:rsidRDefault="002B5F8D" w:rsidP="00391BC3">
                            <w:pPr>
                              <w:shd w:val="clear" w:color="auto" w:fill="FFFFFF"/>
                              <w:spacing w:after="0" w:line="240" w:lineRule="auto"/>
                              <w:rPr>
                                <w:rFonts w:eastAsia="Times New Roman"/>
                              </w:rPr>
                            </w:pPr>
                            <w:r w:rsidRPr="001B0850">
                              <w:rPr>
                                <w:rFonts w:eastAsia="Times New Roman"/>
                              </w:rPr>
                              <w:t xml:space="preserve">How can the world adequately feed more than 9 billion people by 2050 in a manner that advances economic development and reduces pressure on the environment?  This is one of the paramount questions the world faces over the next four decades.  </w:t>
                            </w:r>
                          </w:p>
                          <w:p w14:paraId="4F2F6773" w14:textId="77777777" w:rsidR="002B5F8D" w:rsidRPr="001B0850" w:rsidRDefault="002B5F8D" w:rsidP="00391BC3">
                            <w:pPr>
                              <w:shd w:val="clear" w:color="auto" w:fill="FFFFFF"/>
                              <w:spacing w:after="0" w:line="240" w:lineRule="auto"/>
                              <w:rPr>
                                <w:rFonts w:eastAsia="Times New Roman"/>
                              </w:rPr>
                            </w:pPr>
                          </w:p>
                          <w:p w14:paraId="68A09957" w14:textId="77777777" w:rsidR="002B5F8D" w:rsidRPr="00AD56A5" w:rsidRDefault="002B5F8D" w:rsidP="00391BC3">
                            <w:pPr>
                              <w:shd w:val="clear" w:color="auto" w:fill="FFFFFF"/>
                              <w:spacing w:after="0" w:line="240" w:lineRule="auto"/>
                              <w:rPr>
                                <w:rFonts w:eastAsia="Times New Roman"/>
                              </w:rPr>
                            </w:pPr>
                            <w:r w:rsidRPr="001B0850">
                              <w:rPr>
                                <w:rFonts w:eastAsia="Times New Roman"/>
                              </w:rPr>
                              <w:t xml:space="preserve">Answering it requires a “great balancing act” of three needs―each of which must be simultaneously met.  First, the world needs to close the gap between the food available today and that needed by 2050.  Second, the world needs agriculture to contribute to inclusive economic and social development.  Third, the world needs to reduce agriculture’s impact on the environment. </w:t>
                            </w:r>
                            <w:r w:rsidRPr="001B0850">
                              <w:rPr>
                                <w:rFonts w:eastAsia="Calibri"/>
                              </w:rPr>
                              <w:t xml:space="preserve">The forthcoming World Resources Report, </w:t>
                            </w:r>
                            <w:r w:rsidRPr="001B0850">
                              <w:rPr>
                                <w:rFonts w:eastAsia="Calibri"/>
                                <w:i/>
                              </w:rPr>
                              <w:t>Creating a Sustainable Food Future</w:t>
                            </w:r>
                            <w:r w:rsidRPr="001B0850">
                              <w:rPr>
                                <w:rFonts w:eastAsia="Calibri"/>
                              </w:rPr>
                              <w:t xml:space="preserve">, seeks to answer this question by proposing a menu of solutions that can achieve the great balancing act.      </w:t>
                            </w:r>
                          </w:p>
                          <w:p w14:paraId="74279464" w14:textId="77777777" w:rsidR="002B5F8D" w:rsidRPr="001B0850" w:rsidRDefault="002B5F8D" w:rsidP="00391BC3">
                            <w:pPr>
                              <w:spacing w:after="0" w:line="240" w:lineRule="auto"/>
                              <w:rPr>
                                <w:rFonts w:eastAsia="Calibri"/>
                              </w:rPr>
                            </w:pPr>
                          </w:p>
                          <w:p w14:paraId="2D74AED9" w14:textId="77777777" w:rsidR="002B5F8D" w:rsidRPr="001B0850" w:rsidRDefault="002B5F8D" w:rsidP="00391BC3">
                            <w:pPr>
                              <w:spacing w:after="0" w:line="240" w:lineRule="auto"/>
                            </w:pPr>
                            <w:r w:rsidRPr="001B0850">
                              <w:rPr>
                                <w:rFonts w:eastAsia="Calibri"/>
                              </w:rPr>
                              <w:t xml:space="preserve">Since the 1980s, the World Resources Report has provided decision-makers from government, business, and civil society with analyses and insights on major issues at the nexus of development and the environment.  For more information about the World Resources Report and to access previous installments and editions, visit </w:t>
                            </w:r>
                            <w:hyperlink r:id="rId14" w:history="1">
                              <w:r w:rsidRPr="001B0850">
                                <w:rPr>
                                  <w:rFonts w:eastAsia="Calibri"/>
                                  <w:color w:val="0000FF"/>
                                  <w:u w:val="single"/>
                                </w:rPr>
                                <w:t>www.worldresourcesreport.org</w:t>
                              </w:r>
                            </w:hyperlink>
                            <w:r w:rsidRPr="001B0850">
                              <w:rPr>
                                <w:rFonts w:eastAsia="Calibri"/>
                              </w:rPr>
                              <w:t>.</w:t>
                            </w:r>
                          </w:p>
                          <w:p w14:paraId="706491AC" w14:textId="77777777" w:rsidR="002B5F8D" w:rsidRDefault="002B5F8D" w:rsidP="00391B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2" o:spid="_x0000_s1027" type="#_x0000_t202" style="position:absolute;margin-left:1.5pt;margin-top:14.5pt;width:496.5pt;height:2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">
                <v:textbox>
                  <w:txbxContent>
                    <w:p w14:paraId="7E3ECADF" w14:textId="77777777" w:rsidR="002B5F8D" w:rsidRPr="001B0850" w:rsidRDefault="002B5F8D" w:rsidP="00391BC3">
                      <w:pPr>
                        <w:spacing w:after="0" w:line="240" w:lineRule="auto"/>
                        <w:rPr>
                          <w:b/>
                        </w:rPr>
                      </w:pPr>
                      <w:r w:rsidRPr="001B0850">
                        <w:rPr>
                          <w:b/>
                        </w:rPr>
                        <w:t>Box 1.  The World Resources Report</w:t>
                      </w:r>
                    </w:p>
                    <w:p w14:paraId="49F9D47B" w14:textId="77777777" w:rsidR="002B5F8D" w:rsidRPr="001B0850" w:rsidRDefault="002B5F8D" w:rsidP="00391BC3">
                      <w:pPr>
                        <w:spacing w:after="0" w:line="240" w:lineRule="auto"/>
                        <w:rPr>
                          <w:b/>
                        </w:rPr>
                      </w:pPr>
                    </w:p>
                    <w:p w14:paraId="10595C1C" w14:textId="77777777" w:rsidR="002B5F8D" w:rsidRPr="001B0850" w:rsidRDefault="002B5F8D" w:rsidP="00391BC3">
                      <w:pPr>
                        <w:shd w:val="clear" w:color="auto" w:fill="FFFFFF"/>
                        <w:spacing w:after="0" w:line="240" w:lineRule="auto"/>
                        <w:rPr>
                          <w:rFonts w:eastAsia="Times New Roman"/>
                        </w:rPr>
                      </w:pPr>
                      <w:r w:rsidRPr="001B0850">
                        <w:rPr>
                          <w:rFonts w:eastAsia="Times New Roman"/>
                        </w:rPr>
                        <w:t xml:space="preserve">How can the world adequately feed more than 9 billion people by 2050 in a manner that advances economic development and reduces pressure on the environment?  This is one of the paramount questions the world faces over the next four decades.  </w:t>
                      </w:r>
                    </w:p>
                    <w:p w14:paraId="4F2F6773" w14:textId="77777777" w:rsidR="002B5F8D" w:rsidRPr="001B0850" w:rsidRDefault="002B5F8D" w:rsidP="00391BC3">
                      <w:pPr>
                        <w:shd w:val="clear" w:color="auto" w:fill="FFFFFF"/>
                        <w:spacing w:after="0" w:line="240" w:lineRule="auto"/>
                        <w:rPr>
                          <w:rFonts w:eastAsia="Times New Roman"/>
                        </w:rPr>
                      </w:pPr>
                    </w:p>
                    <w:p w14:paraId="68A09957" w14:textId="77777777" w:rsidR="002B5F8D" w:rsidRPr="00AD56A5" w:rsidRDefault="002B5F8D" w:rsidP="00391BC3">
                      <w:pPr>
                        <w:shd w:val="clear" w:color="auto" w:fill="FFFFFF"/>
                        <w:spacing w:after="0" w:line="240" w:lineRule="auto"/>
                        <w:rPr>
                          <w:rFonts w:eastAsia="Times New Roman"/>
                        </w:rPr>
                      </w:pPr>
                      <w:r w:rsidRPr="001B0850">
                        <w:rPr>
                          <w:rFonts w:eastAsia="Times New Roman"/>
                        </w:rPr>
                        <w:t xml:space="preserve">Answering it requires a “great balancing act” of three needs―each of which must be simultaneously met.  First, the world needs to close the gap between the food available today and that needed by 2050.  Second, the world needs agriculture to contribute to inclusive economic and social development.  Third, the world needs to reduce agriculture’s impact on the environment. </w:t>
                      </w:r>
                      <w:r w:rsidRPr="001B0850">
                        <w:rPr>
                          <w:rFonts w:eastAsia="Calibri"/>
                        </w:rPr>
                        <w:t xml:space="preserve">The forthcoming World Resources Report, </w:t>
                      </w:r>
                      <w:r w:rsidRPr="001B0850">
                        <w:rPr>
                          <w:rFonts w:eastAsia="Calibri"/>
                          <w:i/>
                        </w:rPr>
                        <w:t>Creating a Sustainable Food Future</w:t>
                      </w:r>
                      <w:r w:rsidRPr="001B0850">
                        <w:rPr>
                          <w:rFonts w:eastAsia="Calibri"/>
                        </w:rPr>
                        <w:t xml:space="preserve">, seeks to answer this question by proposing a menu of solutions that can achieve the great balancing act.      </w:t>
                      </w:r>
                    </w:p>
                    <w:p w14:paraId="74279464" w14:textId="77777777" w:rsidR="002B5F8D" w:rsidRPr="001B0850" w:rsidRDefault="002B5F8D" w:rsidP="00391BC3">
                      <w:pPr>
                        <w:spacing w:after="0" w:line="240" w:lineRule="auto"/>
                        <w:rPr>
                          <w:rFonts w:eastAsia="Calibri"/>
                        </w:rPr>
                      </w:pPr>
                    </w:p>
                    <w:p w14:paraId="2D74AED9" w14:textId="77777777" w:rsidR="002B5F8D" w:rsidRPr="001B0850" w:rsidRDefault="002B5F8D" w:rsidP="00391BC3">
                      <w:pPr>
                        <w:spacing w:after="0" w:line="240" w:lineRule="auto"/>
                      </w:pPr>
                      <w:r w:rsidRPr="001B0850">
                        <w:rPr>
                          <w:rFonts w:eastAsia="Calibri"/>
                        </w:rPr>
                        <w:t xml:space="preserve">Since the 1980s, the World Resources Report has provided decision-makers from government, business, and civil society with analyses and insights on major issues at the nexus of development and the environment.  For more information about the World Resources Report and to access previous installments and editions, visit </w:t>
                      </w:r>
                      <w:hyperlink r:id="rId15" w:history="1">
                        <w:r w:rsidRPr="001B0850">
                          <w:rPr>
                            <w:rFonts w:eastAsia="Calibri"/>
                            <w:color w:val="0000FF"/>
                            <w:u w:val="single"/>
                          </w:rPr>
                          <w:t>www.worldresourcesreport.org</w:t>
                        </w:r>
                      </w:hyperlink>
                      <w:r w:rsidRPr="001B0850">
                        <w:rPr>
                          <w:rFonts w:eastAsia="Calibri"/>
                        </w:rPr>
                        <w:t>.</w:t>
                      </w:r>
                    </w:p>
                    <w:p w14:paraId="706491AC" w14:textId="77777777" w:rsidR="002B5F8D" w:rsidRDefault="002B5F8D" w:rsidP="00391BC3"/>
                  </w:txbxContent>
                </v:textbox>
                <w10:wrap type="square"/>
              </v:shape>
            </w:pict>
          </mc:Fallback>
        </mc:AlternateContent>
      </w:r>
    </w:p>
    <w:p w14:paraId="7BA8E14A" w14:textId="77777777" w:rsidR="000F1B53" w:rsidRDefault="000F1B53" w:rsidP="00D20E8D">
      <w:pPr>
        <w:spacing w:after="0" w:line="240" w:lineRule="auto"/>
      </w:pPr>
    </w:p>
    <w:p w14:paraId="6BBD2FF1" w14:textId="77777777" w:rsidR="007646A0" w:rsidRDefault="007646A0" w:rsidP="00593B5B">
      <w:pPr>
        <w:spacing w:after="0" w:line="240" w:lineRule="auto"/>
      </w:pPr>
    </w:p>
    <w:p w14:paraId="121325B5" w14:textId="77777777" w:rsidR="008F2F77" w:rsidRDefault="008F2F77" w:rsidP="00593B5B">
      <w:pPr>
        <w:spacing w:after="0" w:line="240" w:lineRule="auto"/>
      </w:pPr>
    </w:p>
    <w:p w14:paraId="5499E301" w14:textId="5E8A4813" w:rsidR="00F54AE6" w:rsidRPr="0047534E" w:rsidRDefault="00F54AE6" w:rsidP="00593B5B">
      <w:pPr>
        <w:spacing w:after="0" w:line="240" w:lineRule="auto"/>
        <w:rPr>
          <w:color w:val="000099"/>
        </w:rPr>
      </w:pPr>
    </w:p>
    <w:p w14:paraId="64F205F5" w14:textId="77777777" w:rsidR="000E23BD" w:rsidRDefault="000E23BD">
      <w:pPr>
        <w:rPr>
          <w:rFonts w:eastAsiaTheme="majorEastAsia" w:cstheme="majorBidi"/>
          <w:b/>
          <w:bCs/>
          <w:color w:val="000099"/>
        </w:rPr>
      </w:pPr>
      <w:bookmarkStart w:id="8" w:name="_Toc352660935"/>
      <w:r>
        <w:rPr>
          <w:color w:val="000099"/>
        </w:rPr>
        <w:br w:type="page"/>
      </w:r>
    </w:p>
    <w:p w14:paraId="2EA682BE" w14:textId="7352B116" w:rsidR="00FA2439" w:rsidRPr="00FF015E" w:rsidRDefault="00676E9B" w:rsidP="000D6158">
      <w:pPr>
        <w:pStyle w:val="Overskrift1"/>
        <w:keepLines w:val="0"/>
        <w:numPr>
          <w:ilvl w:val="0"/>
          <w:numId w:val="4"/>
        </w:numPr>
        <w:spacing w:before="0" w:line="240" w:lineRule="auto"/>
        <w:ind w:left="450" w:hanging="450"/>
        <w:rPr>
          <w:rFonts w:asciiTheme="minorHAnsi" w:hAnsiTheme="minorHAnsi"/>
          <w:color w:val="000099"/>
          <w:sz w:val="22"/>
          <w:szCs w:val="22"/>
        </w:rPr>
      </w:pPr>
      <w:bookmarkStart w:id="9" w:name="_Toc387076754"/>
      <w:bookmarkStart w:id="10" w:name="_Toc386694774"/>
      <w:r>
        <w:rPr>
          <w:rFonts w:asciiTheme="minorHAnsi" w:hAnsiTheme="minorHAnsi"/>
          <w:color w:val="000099"/>
          <w:sz w:val="22"/>
          <w:szCs w:val="22"/>
        </w:rPr>
        <w:lastRenderedPageBreak/>
        <w:t xml:space="preserve">THE </w:t>
      </w:r>
      <w:r w:rsidR="00FA2439" w:rsidRPr="00FF015E">
        <w:rPr>
          <w:rFonts w:asciiTheme="minorHAnsi" w:hAnsiTheme="minorHAnsi"/>
          <w:color w:val="000099"/>
          <w:sz w:val="22"/>
          <w:szCs w:val="22"/>
        </w:rPr>
        <w:t xml:space="preserve">LANDSCAPE OF EXISTING </w:t>
      </w:r>
      <w:r w:rsidR="003B6855">
        <w:rPr>
          <w:rFonts w:asciiTheme="minorHAnsi" w:hAnsiTheme="minorHAnsi"/>
          <w:color w:val="000099"/>
          <w:sz w:val="22"/>
          <w:szCs w:val="22"/>
        </w:rPr>
        <w:t xml:space="preserve">INDICATORS OF THE </w:t>
      </w:r>
      <w:r w:rsidR="00FA2439" w:rsidRPr="00FF015E">
        <w:rPr>
          <w:rFonts w:asciiTheme="minorHAnsi" w:hAnsiTheme="minorHAnsi"/>
          <w:color w:val="000099"/>
          <w:sz w:val="22"/>
          <w:szCs w:val="22"/>
        </w:rPr>
        <w:t>ENVIRONMENTAL</w:t>
      </w:r>
      <w:r w:rsidR="00457D59">
        <w:rPr>
          <w:rFonts w:asciiTheme="minorHAnsi" w:hAnsiTheme="minorHAnsi"/>
          <w:color w:val="000099"/>
          <w:sz w:val="22"/>
          <w:szCs w:val="22"/>
        </w:rPr>
        <w:t xml:space="preserve"> SUSTAINABILITY OF AGRICULTURE</w:t>
      </w:r>
      <w:bookmarkEnd w:id="9"/>
      <w:r w:rsidR="00FA2439" w:rsidRPr="00FF015E">
        <w:rPr>
          <w:rFonts w:asciiTheme="minorHAnsi" w:hAnsiTheme="minorHAnsi"/>
          <w:color w:val="000099"/>
          <w:sz w:val="22"/>
          <w:szCs w:val="22"/>
        </w:rPr>
        <w:t xml:space="preserve"> </w:t>
      </w:r>
      <w:bookmarkEnd w:id="8"/>
      <w:bookmarkEnd w:id="10"/>
    </w:p>
    <w:p w14:paraId="44F283A5" w14:textId="77777777" w:rsidR="00FA2439" w:rsidRDefault="00FA2439" w:rsidP="00D20E8D">
      <w:pPr>
        <w:keepNext/>
        <w:spacing w:after="0" w:line="240" w:lineRule="auto"/>
      </w:pPr>
    </w:p>
    <w:p w14:paraId="26B13BDE" w14:textId="2CDE6628" w:rsidR="00E2377B" w:rsidRDefault="00F20A98" w:rsidP="00D20E8D">
      <w:pPr>
        <w:keepNext/>
        <w:spacing w:after="0" w:line="240" w:lineRule="auto"/>
      </w:pPr>
      <w:r>
        <w:t xml:space="preserve">When developing </w:t>
      </w:r>
      <w:r w:rsidR="00591B3B">
        <w:t>indicators of the</w:t>
      </w:r>
      <w:r>
        <w:t xml:space="preserve"> e</w:t>
      </w:r>
      <w:r w:rsidR="000F2448">
        <w:t xml:space="preserve">nvironmental sustainability </w:t>
      </w:r>
      <w:r w:rsidR="00591B3B">
        <w:t>of agriculture</w:t>
      </w:r>
      <w:r>
        <w:t xml:space="preserve">, it is important to </w:t>
      </w:r>
      <w:r w:rsidR="00EE4725">
        <w:t xml:space="preserve">first </w:t>
      </w:r>
      <w:r>
        <w:t>understand the existing landscape of indicators,</w:t>
      </w:r>
      <w:r w:rsidR="00E851C6">
        <w:t xml:space="preserve"> indices,</w:t>
      </w:r>
      <w:r>
        <w:t xml:space="preserve"> and datasets at the nexus of agriculture and the environment. </w:t>
      </w:r>
      <w:r w:rsidR="00591B3B">
        <w:t>One</w:t>
      </w:r>
      <w:r w:rsidR="00E2377B">
        <w:t xml:space="preserve"> need not reinvent the proverbial wheel. </w:t>
      </w:r>
      <w:r>
        <w:t xml:space="preserve">Important questions to address include:  What indices and indicators about the environmental sustainability of agriculture already exist? To what degree </w:t>
      </w:r>
      <w:r w:rsidR="000F2448">
        <w:t>are</w:t>
      </w:r>
      <w:r>
        <w:t xml:space="preserve"> they </w:t>
      </w:r>
      <w:r w:rsidR="000F2448">
        <w:t xml:space="preserve">sufficient? </w:t>
      </w:r>
      <w:r>
        <w:t xml:space="preserve">What </w:t>
      </w:r>
      <w:r w:rsidR="000F2448">
        <w:t xml:space="preserve">appropriate </w:t>
      </w:r>
      <w:r>
        <w:t xml:space="preserve">datasets already exist? What can be learned and leveraged from these existing indices, indicators, and datasets? </w:t>
      </w:r>
    </w:p>
    <w:p w14:paraId="78526ED7" w14:textId="77777777" w:rsidR="00E2377B" w:rsidRDefault="00E2377B" w:rsidP="00F20A98">
      <w:pPr>
        <w:spacing w:after="0" w:line="240" w:lineRule="auto"/>
      </w:pPr>
    </w:p>
    <w:p w14:paraId="0D731AFB" w14:textId="225A5A7F" w:rsidR="00E2377B" w:rsidRDefault="00F20A98" w:rsidP="00C33A1C">
      <w:pPr>
        <w:spacing w:after="0" w:line="240" w:lineRule="auto"/>
      </w:pPr>
      <w:r>
        <w:t>To address these and related questions, we</w:t>
      </w:r>
      <w:r w:rsidR="001F4187">
        <w:t xml:space="preserve"> </w:t>
      </w:r>
      <w:r>
        <w:t xml:space="preserve">identified, reviewed, </w:t>
      </w:r>
      <w:r w:rsidR="001F4187">
        <w:t>and synthesize</w:t>
      </w:r>
      <w:r>
        <w:t>d</w:t>
      </w:r>
      <w:r w:rsidR="001F4187">
        <w:t xml:space="preserve"> the landscape of existing</w:t>
      </w:r>
      <w:r w:rsidR="000F09A6">
        <w:t xml:space="preserve"> </w:t>
      </w:r>
      <w:r>
        <w:t xml:space="preserve">indicators, </w:t>
      </w:r>
      <w:r w:rsidR="00E851C6">
        <w:t xml:space="preserve">indices, </w:t>
      </w:r>
      <w:r>
        <w:t xml:space="preserve">and datasets that appear related to some degree to the </w:t>
      </w:r>
      <w:r w:rsidR="000F09A6">
        <w:t xml:space="preserve">environmental </w:t>
      </w:r>
      <w:r>
        <w:t>sustainability of agriculture</w:t>
      </w:r>
      <w:r w:rsidR="00C33A1C">
        <w:t xml:space="preserve">. </w:t>
      </w:r>
      <w:r>
        <w:t>Via discussion with WRI experts, consultation with other experts in the field of sustainable agriculture, and an extensive literature review, we identified more than two dozen candidate sources of agri-environmental indices, indicators, and</w:t>
      </w:r>
      <w:r w:rsidR="00EE4725">
        <w:t>/or</w:t>
      </w:r>
      <w:r>
        <w:t xml:space="preserve"> data. </w:t>
      </w:r>
      <w:r w:rsidR="00C33A1C">
        <w:t xml:space="preserve">We may not have identified every candidate in the world, but we do believe our scan uncovered a significant share of them. </w:t>
      </w:r>
      <w:r>
        <w:t>We screened them for relevance</w:t>
      </w:r>
      <w:r w:rsidR="001539A7">
        <w:t xml:space="preserve"> and,</w:t>
      </w:r>
      <w:r>
        <w:t xml:space="preserve"> on further examination</w:t>
      </w:r>
      <w:r w:rsidR="001539A7">
        <w:t>,</w:t>
      </w:r>
      <w:r>
        <w:t xml:space="preserve"> several sources were relevant in name only, not in content. </w:t>
      </w:r>
      <w:r w:rsidR="00F558DC" w:rsidRPr="00F558DC">
        <w:rPr>
          <w:color w:val="000099"/>
        </w:rPr>
        <w:t>Table 2</w:t>
      </w:r>
      <w:r w:rsidR="000F09A6">
        <w:t xml:space="preserve"> summarizes </w:t>
      </w:r>
      <w:r w:rsidR="00E2377B">
        <w:t xml:space="preserve">those </w:t>
      </w:r>
      <w:r w:rsidR="000F09A6">
        <w:t xml:space="preserve">sources </w:t>
      </w:r>
      <w:r w:rsidR="00E2377B">
        <w:t xml:space="preserve">that passed the first quick screen. These sources include indices, reports, and datasets. </w:t>
      </w:r>
    </w:p>
    <w:p w14:paraId="13DEBFD1" w14:textId="77777777" w:rsidR="00E2377B" w:rsidRDefault="00E2377B" w:rsidP="00C33A1C">
      <w:pPr>
        <w:spacing w:after="0" w:line="240" w:lineRule="auto"/>
      </w:pPr>
    </w:p>
    <w:p w14:paraId="515BEF54" w14:textId="34A7E985" w:rsidR="001539A7" w:rsidRDefault="001539A7" w:rsidP="001539A7">
      <w:pPr>
        <w:spacing w:after="0" w:line="240" w:lineRule="auto"/>
      </w:pPr>
      <w:r>
        <w:t xml:space="preserve">We then profiled and summarized each of these indices, reports, and datasets in an Excel Workbook available at </w:t>
      </w:r>
      <w:hyperlink r:id="rId16" w:history="1">
        <w:r w:rsidRPr="00676E9B">
          <w:rPr>
            <w:rStyle w:val="Hyperlink"/>
            <w:color w:val="000099"/>
          </w:rPr>
          <w:t>www.wri.org/food/indicators</w:t>
        </w:r>
      </w:hyperlink>
      <w:r>
        <w:t xml:space="preserve"> entitl</w:t>
      </w:r>
      <w:r w:rsidR="00452406">
        <w:t>ed “Landscape of Existing Agri-E</w:t>
      </w:r>
      <w:r>
        <w:t>nvironmental Indicators.”  Each profile</w:t>
      </w:r>
      <w:r w:rsidR="00E2377B">
        <w:t xml:space="preserve"> </w:t>
      </w:r>
      <w:r>
        <w:t>includes</w:t>
      </w:r>
      <w:r w:rsidR="00C33A1C">
        <w:t xml:space="preserve"> </w:t>
      </w:r>
      <w:r w:rsidR="00EE4725">
        <w:t>lead developer or compiler, objective, most recent year, frequency of upd</w:t>
      </w:r>
      <w:r>
        <w:t>ate, geographic coverage, and web</w:t>
      </w:r>
      <w:r w:rsidR="004E3873">
        <w:t xml:space="preserve"> URL</w:t>
      </w:r>
      <w:r w:rsidR="00EE4725">
        <w:t>. For each indicator</w:t>
      </w:r>
      <w:r>
        <w:t xml:space="preserve"> provided in these indices and reports</w:t>
      </w:r>
      <w:r w:rsidR="00EE4725">
        <w:t xml:space="preserve">, we profiled the indicator theme, indicator, metric, unit of measure, scale, and data source. </w:t>
      </w:r>
    </w:p>
    <w:p w14:paraId="4226C6DB" w14:textId="77777777" w:rsidR="001539A7" w:rsidRDefault="001539A7" w:rsidP="001539A7">
      <w:pPr>
        <w:spacing w:after="0" w:line="240" w:lineRule="auto"/>
      </w:pPr>
    </w:p>
    <w:p w14:paraId="637163FB" w14:textId="4EF95B1B" w:rsidR="00C33A1C" w:rsidRDefault="00EE4725" w:rsidP="004E14DC">
      <w:pPr>
        <w:spacing w:after="120" w:line="240" w:lineRule="auto"/>
      </w:pPr>
      <w:r>
        <w:t>T</w:t>
      </w:r>
      <w:r w:rsidR="00E2377B">
        <w:t>hese profi</w:t>
      </w:r>
      <w:r w:rsidR="00C33A1C">
        <w:t>les yield</w:t>
      </w:r>
      <w:r>
        <w:t xml:space="preserve"> several insights, including:</w:t>
      </w:r>
    </w:p>
    <w:p w14:paraId="101570B9" w14:textId="64A7A396" w:rsidR="00C33A1C" w:rsidRDefault="00C33A1C" w:rsidP="000D6158">
      <w:pPr>
        <w:pStyle w:val="Listeafsnit"/>
        <w:numPr>
          <w:ilvl w:val="0"/>
          <w:numId w:val="3"/>
        </w:numPr>
        <w:spacing w:after="120" w:line="240" w:lineRule="auto"/>
        <w:contextualSpacing w:val="0"/>
      </w:pPr>
      <w:r>
        <w:t>N</w:t>
      </w:r>
      <w:r w:rsidR="00BC2DEA">
        <w:t xml:space="preserve">o </w:t>
      </w:r>
      <w:r w:rsidR="00AD26AB">
        <w:t xml:space="preserve">systematic </w:t>
      </w:r>
      <w:r w:rsidR="00BC2DEA">
        <w:t xml:space="preserve">global or near-global </w:t>
      </w:r>
      <w:r w:rsidR="00AD26AB">
        <w:t>index</w:t>
      </w:r>
      <w:r w:rsidR="00BC2DEA">
        <w:t xml:space="preserve"> of environmental sustainability </w:t>
      </w:r>
      <w:r w:rsidR="00C55D59">
        <w:t>of</w:t>
      </w:r>
      <w:r w:rsidR="00BC2DEA">
        <w:t xml:space="preserve"> agriculture</w:t>
      </w:r>
      <w:r>
        <w:t xml:space="preserve"> appears to currently exist</w:t>
      </w:r>
      <w:r w:rsidR="00BC2DEA">
        <w:t>.</w:t>
      </w:r>
      <w:r w:rsidR="00C55D59">
        <w:t xml:space="preserve"> </w:t>
      </w:r>
    </w:p>
    <w:p w14:paraId="21922933" w14:textId="0E3B9E24" w:rsidR="00C33A1C" w:rsidRDefault="00A220A3" w:rsidP="000D6158">
      <w:pPr>
        <w:pStyle w:val="Listeafsnit"/>
        <w:numPr>
          <w:ilvl w:val="0"/>
          <w:numId w:val="3"/>
        </w:numPr>
        <w:spacing w:after="120" w:line="240" w:lineRule="auto"/>
        <w:contextualSpacing w:val="0"/>
      </w:pPr>
      <w:r>
        <w:t xml:space="preserve">The most relevant </w:t>
      </w:r>
      <w:r w:rsidR="00C55D59">
        <w:t xml:space="preserve">existing </w:t>
      </w:r>
      <w:r>
        <w:t xml:space="preserve">global index, Yale’s </w:t>
      </w:r>
      <w:r w:rsidRPr="00C33A1C">
        <w:rPr>
          <w:i/>
        </w:rPr>
        <w:t>Environmental Performance Index</w:t>
      </w:r>
      <w:r>
        <w:t xml:space="preserve">, includes agriculture as a small component of a </w:t>
      </w:r>
      <w:r w:rsidR="00C33A1C">
        <w:t xml:space="preserve">much larger </w:t>
      </w:r>
      <w:r>
        <w:t xml:space="preserve">global assessment of national-level environmental performance within </w:t>
      </w:r>
      <w:r w:rsidR="00C55D59">
        <w:t>numerous economic</w:t>
      </w:r>
      <w:r>
        <w:t xml:space="preserve"> sectors.</w:t>
      </w:r>
      <w:r w:rsidR="00C55D59">
        <w:t xml:space="preserve"> </w:t>
      </w:r>
    </w:p>
    <w:p w14:paraId="7F4341A5" w14:textId="77777777" w:rsidR="00C33A1C" w:rsidRPr="001539A7" w:rsidRDefault="00785677" w:rsidP="000D6158">
      <w:pPr>
        <w:pStyle w:val="Listeafsnit"/>
        <w:numPr>
          <w:ilvl w:val="0"/>
          <w:numId w:val="3"/>
        </w:numPr>
        <w:spacing w:after="120" w:line="240" w:lineRule="auto"/>
        <w:contextualSpacing w:val="0"/>
      </w:pPr>
      <w:r>
        <w:t xml:space="preserve">The most thematically relevant report, OECD’s </w:t>
      </w:r>
      <w:r w:rsidRPr="00C33A1C">
        <w:rPr>
          <w:i/>
        </w:rPr>
        <w:t>Environmental Performance of Agriculture in OECD Countries Since 1990</w:t>
      </w:r>
      <w:r>
        <w:t xml:space="preserve">, is geographically limited to only 30 OECD member countries and does not </w:t>
      </w:r>
      <w:r w:rsidRPr="001539A7">
        <w:t>aggregate environmental indicators into a single index, but rather reports on each</w:t>
      </w:r>
      <w:r w:rsidR="006308EF" w:rsidRPr="001539A7">
        <w:t xml:space="preserve"> indicator</w:t>
      </w:r>
      <w:r w:rsidR="00D76E17" w:rsidRPr="001539A7">
        <w:t xml:space="preserve"> separately</w:t>
      </w:r>
      <w:r w:rsidRPr="001539A7">
        <w:t xml:space="preserve">. </w:t>
      </w:r>
      <w:r w:rsidR="00C55D59" w:rsidRPr="001539A7">
        <w:t>Nonetheless, the OECD indicators can provide inspiration for the types of indicators to aspire to as data collection becomes better and more consistent globally.</w:t>
      </w:r>
    </w:p>
    <w:p w14:paraId="523A5904" w14:textId="69289838" w:rsidR="004E14DC" w:rsidRPr="001539A7" w:rsidRDefault="00C33A1C" w:rsidP="000D6158">
      <w:pPr>
        <w:pStyle w:val="Listeafsnit"/>
        <w:numPr>
          <w:ilvl w:val="0"/>
          <w:numId w:val="3"/>
        </w:numPr>
        <w:spacing w:after="120" w:line="240" w:lineRule="auto"/>
        <w:contextualSpacing w:val="0"/>
      </w:pPr>
      <w:r w:rsidRPr="001539A7">
        <w:t xml:space="preserve">The most common themes of existing indicators at the nexus of environment and agriculture are water use by agriculture, </w:t>
      </w:r>
      <w:r w:rsidR="0047534E" w:rsidRPr="001539A7">
        <w:t xml:space="preserve">agriculture policies (especially </w:t>
      </w:r>
      <w:r w:rsidRPr="001539A7">
        <w:t>agriculture subsidies</w:t>
      </w:r>
      <w:r w:rsidR="0047534E" w:rsidRPr="001539A7">
        <w:t>)</w:t>
      </w:r>
      <w:r w:rsidRPr="001539A7">
        <w:t xml:space="preserve">, and greenhouse gas emissions from agriculture. </w:t>
      </w:r>
      <w:r w:rsidR="00F558DC" w:rsidRPr="00F558DC">
        <w:rPr>
          <w:color w:val="000099"/>
        </w:rPr>
        <w:t>Table 3</w:t>
      </w:r>
      <w:r w:rsidR="001A2700" w:rsidRPr="001539A7">
        <w:t xml:space="preserve"> lists the</w:t>
      </w:r>
      <w:r w:rsidR="00C55D59" w:rsidRPr="001539A7">
        <w:t xml:space="preserve">se and other </w:t>
      </w:r>
      <w:r w:rsidR="001A2700" w:rsidRPr="001539A7">
        <w:t xml:space="preserve">common </w:t>
      </w:r>
      <w:r w:rsidR="00F730BC" w:rsidRPr="001539A7">
        <w:t xml:space="preserve">indicator </w:t>
      </w:r>
      <w:r w:rsidR="001A2700" w:rsidRPr="001539A7">
        <w:t>themes and</w:t>
      </w:r>
      <w:r w:rsidR="007861A3" w:rsidRPr="001539A7">
        <w:t xml:space="preserve"> </w:t>
      </w:r>
      <w:r w:rsidR="001A2700" w:rsidRPr="001539A7">
        <w:t xml:space="preserve">provides examples </w:t>
      </w:r>
      <w:r w:rsidR="00F730BC" w:rsidRPr="001539A7">
        <w:t>of</w:t>
      </w:r>
      <w:r w:rsidR="008E7E3E" w:rsidRPr="001539A7">
        <w:t xml:space="preserve"> specific</w:t>
      </w:r>
      <w:r w:rsidR="00F730BC" w:rsidRPr="001539A7">
        <w:t xml:space="preserve"> </w:t>
      </w:r>
      <w:r w:rsidR="001A2700" w:rsidRPr="001539A7">
        <w:t xml:space="preserve">indicators within </w:t>
      </w:r>
      <w:r w:rsidR="007861A3" w:rsidRPr="001539A7">
        <w:t>each</w:t>
      </w:r>
      <w:r w:rsidR="001A2700" w:rsidRPr="001539A7">
        <w:t xml:space="preserve"> theme. </w:t>
      </w:r>
    </w:p>
    <w:p w14:paraId="2375D4E2" w14:textId="1B18C5D9" w:rsidR="00FE7A12" w:rsidRDefault="00676E9B" w:rsidP="000D6158">
      <w:pPr>
        <w:pStyle w:val="Listeafsnit"/>
        <w:numPr>
          <w:ilvl w:val="0"/>
          <w:numId w:val="3"/>
        </w:numPr>
        <w:spacing w:after="0" w:line="240" w:lineRule="auto"/>
      </w:pPr>
      <w:r>
        <w:t>Many</w:t>
      </w:r>
      <w:r w:rsidR="00FE7A12" w:rsidRPr="001539A7">
        <w:t xml:space="preserve"> of the indicators used by the </w:t>
      </w:r>
      <w:r>
        <w:t>indices and reports profiled in the Excel workbook</w:t>
      </w:r>
      <w:r w:rsidR="00FE7A12" w:rsidRPr="001539A7">
        <w:t xml:space="preserve"> are either irrelevant or</w:t>
      </w:r>
      <w:r w:rsidR="00FE7A12">
        <w:t xml:space="preserve"> </w:t>
      </w:r>
      <w:r w:rsidR="004E3873">
        <w:t xml:space="preserve">only </w:t>
      </w:r>
      <w:r w:rsidR="00FE7A12">
        <w:t xml:space="preserve">tangentially related to the environmental sustainability of agriculture. </w:t>
      </w:r>
    </w:p>
    <w:p w14:paraId="7A74A130" w14:textId="77777777" w:rsidR="004E14DC" w:rsidRDefault="004E14DC" w:rsidP="004E14DC">
      <w:pPr>
        <w:spacing w:after="0" w:line="240" w:lineRule="auto"/>
        <w:sectPr w:rsidR="004E14DC" w:rsidSect="00871047">
          <w:endnotePr>
            <w:numFmt w:val="decimal"/>
          </w:endnotePr>
          <w:pgSz w:w="12240" w:h="15840"/>
          <w:pgMar w:top="1440" w:right="1440" w:bottom="1440" w:left="1440" w:header="720" w:footer="720" w:gutter="0"/>
          <w:pgNumType w:start="5"/>
          <w:cols w:space="720"/>
          <w:titlePg/>
          <w:docGrid w:linePitch="360"/>
        </w:sectPr>
      </w:pPr>
    </w:p>
    <w:p w14:paraId="6758AC64" w14:textId="34170643" w:rsidR="009B031A" w:rsidRDefault="00F558DC" w:rsidP="00F54AE6">
      <w:pPr>
        <w:spacing w:after="0" w:line="240" w:lineRule="auto"/>
        <w:ind w:right="-180"/>
        <w:rPr>
          <w:b/>
        </w:rPr>
      </w:pPr>
      <w:r>
        <w:rPr>
          <w:b/>
        </w:rPr>
        <w:lastRenderedPageBreak/>
        <w:t>Table 2</w:t>
      </w:r>
      <w:r w:rsidR="00C70E64" w:rsidRPr="00295CE1">
        <w:rPr>
          <w:b/>
        </w:rPr>
        <w:t>.</w:t>
      </w:r>
      <w:r w:rsidR="00C70E64">
        <w:t xml:space="preserve"> </w:t>
      </w:r>
      <w:r w:rsidR="00C70E64" w:rsidRPr="00406BA7">
        <w:rPr>
          <w:b/>
        </w:rPr>
        <w:t>Summary of sources reviewed in evaluating the landscape of existing environmental indicators</w:t>
      </w:r>
      <w:r w:rsidR="0096401D">
        <w:rPr>
          <w:b/>
        </w:rPr>
        <w:t xml:space="preserve"> (not exhaustive)</w:t>
      </w:r>
    </w:p>
    <w:p w14:paraId="078336CB" w14:textId="77777777" w:rsidR="001A52A4" w:rsidRPr="001A52A4" w:rsidRDefault="001A52A4" w:rsidP="00F54AE6">
      <w:pPr>
        <w:spacing w:after="0" w:line="240" w:lineRule="auto"/>
        <w:ind w:right="-180"/>
        <w:rPr>
          <w:i/>
        </w:rPr>
      </w:pPr>
    </w:p>
    <w:tbl>
      <w:tblPr>
        <w:tblW w:w="9285" w:type="dxa"/>
        <w:tblInd w:w="93" w:type="dxa"/>
        <w:tblLook w:val="04A0" w:firstRow="1" w:lastRow="0" w:firstColumn="1" w:lastColumn="0" w:noHBand="0" w:noVBand="1"/>
      </w:tblPr>
      <w:tblGrid>
        <w:gridCol w:w="827"/>
        <w:gridCol w:w="4768"/>
        <w:gridCol w:w="3690"/>
      </w:tblGrid>
      <w:tr w:rsidR="009E06B2" w:rsidRPr="009E06B2" w14:paraId="188D149D" w14:textId="77777777" w:rsidTr="002C2833">
        <w:trPr>
          <w:trHeight w:val="170"/>
        </w:trPr>
        <w:tc>
          <w:tcPr>
            <w:tcW w:w="827" w:type="dxa"/>
            <w:tcBorders>
              <w:top w:val="single" w:sz="4" w:space="0" w:color="auto"/>
              <w:left w:val="single" w:sz="4" w:space="0" w:color="auto"/>
              <w:bottom w:val="single" w:sz="4" w:space="0" w:color="auto"/>
              <w:right w:val="single" w:sz="4" w:space="0" w:color="auto"/>
            </w:tcBorders>
            <w:shd w:val="clear" w:color="auto" w:fill="auto"/>
            <w:noWrap/>
            <w:hideMark/>
          </w:tcPr>
          <w:p w14:paraId="4FD9C89C" w14:textId="77777777" w:rsidR="009E06B2" w:rsidRPr="00F54AE6" w:rsidRDefault="009E06B2" w:rsidP="00F54AE6">
            <w:pPr>
              <w:spacing w:after="0" w:line="240" w:lineRule="auto"/>
              <w:rPr>
                <w:rFonts w:eastAsia="Times New Roman" w:cs="Times New Roman"/>
                <w:b/>
                <w:bCs/>
                <w:color w:val="000099"/>
                <w:sz w:val="20"/>
                <w:szCs w:val="20"/>
              </w:rPr>
            </w:pPr>
            <w:r w:rsidRPr="00F54AE6">
              <w:rPr>
                <w:rFonts w:eastAsia="Times New Roman" w:cs="Times New Roman"/>
                <w:b/>
                <w:bCs/>
                <w:color w:val="000099"/>
                <w:sz w:val="20"/>
                <w:szCs w:val="20"/>
              </w:rPr>
              <w:t>Type</w:t>
            </w:r>
          </w:p>
        </w:tc>
        <w:tc>
          <w:tcPr>
            <w:tcW w:w="4768" w:type="dxa"/>
            <w:tcBorders>
              <w:top w:val="single" w:sz="4" w:space="0" w:color="auto"/>
              <w:left w:val="single" w:sz="4" w:space="0" w:color="auto"/>
              <w:bottom w:val="single" w:sz="4" w:space="0" w:color="auto"/>
              <w:right w:val="single" w:sz="4" w:space="0" w:color="auto"/>
            </w:tcBorders>
            <w:shd w:val="clear" w:color="auto" w:fill="auto"/>
            <w:hideMark/>
          </w:tcPr>
          <w:p w14:paraId="70F1F1B8" w14:textId="77777777" w:rsidR="009E06B2" w:rsidRPr="00F54AE6" w:rsidRDefault="009E06B2" w:rsidP="00F54AE6">
            <w:pPr>
              <w:spacing w:after="0" w:line="240" w:lineRule="auto"/>
              <w:rPr>
                <w:rFonts w:eastAsia="Times New Roman" w:cs="Times New Roman"/>
                <w:b/>
                <w:bCs/>
                <w:color w:val="000099"/>
                <w:sz w:val="20"/>
                <w:szCs w:val="20"/>
              </w:rPr>
            </w:pPr>
            <w:r w:rsidRPr="00F54AE6">
              <w:rPr>
                <w:rFonts w:eastAsia="Times New Roman" w:cs="Times New Roman"/>
                <w:b/>
                <w:bCs/>
                <w:color w:val="000099"/>
                <w:sz w:val="20"/>
                <w:szCs w:val="20"/>
              </w:rPr>
              <w:t xml:space="preserve">Title </w:t>
            </w:r>
          </w:p>
        </w:tc>
        <w:tc>
          <w:tcPr>
            <w:tcW w:w="3690" w:type="dxa"/>
            <w:tcBorders>
              <w:top w:val="single" w:sz="4" w:space="0" w:color="auto"/>
              <w:left w:val="nil"/>
              <w:bottom w:val="single" w:sz="4" w:space="0" w:color="auto"/>
              <w:right w:val="single" w:sz="4" w:space="0" w:color="auto"/>
            </w:tcBorders>
            <w:shd w:val="clear" w:color="auto" w:fill="auto"/>
            <w:hideMark/>
          </w:tcPr>
          <w:p w14:paraId="0CD31303" w14:textId="77777777" w:rsidR="009E06B2" w:rsidRPr="00F54AE6" w:rsidRDefault="009E06B2" w:rsidP="00F54AE6">
            <w:pPr>
              <w:spacing w:after="0" w:line="240" w:lineRule="auto"/>
              <w:rPr>
                <w:rFonts w:eastAsia="Times New Roman" w:cs="Times New Roman"/>
                <w:b/>
                <w:bCs/>
                <w:color w:val="000099"/>
                <w:sz w:val="20"/>
                <w:szCs w:val="20"/>
              </w:rPr>
            </w:pPr>
            <w:r w:rsidRPr="00F54AE6">
              <w:rPr>
                <w:rFonts w:eastAsia="Times New Roman" w:cs="Times New Roman"/>
                <w:b/>
                <w:bCs/>
                <w:color w:val="000099"/>
                <w:sz w:val="20"/>
                <w:szCs w:val="20"/>
              </w:rPr>
              <w:t>Lead organization</w:t>
            </w:r>
          </w:p>
        </w:tc>
      </w:tr>
      <w:tr w:rsidR="009E06B2" w:rsidRPr="009E06B2" w14:paraId="6DA3ADA1" w14:textId="77777777" w:rsidTr="00F54AE6">
        <w:trPr>
          <w:trHeight w:val="503"/>
        </w:trPr>
        <w:tc>
          <w:tcPr>
            <w:tcW w:w="827" w:type="dxa"/>
            <w:tcBorders>
              <w:top w:val="single" w:sz="4" w:space="0" w:color="auto"/>
              <w:left w:val="single" w:sz="4" w:space="0" w:color="auto"/>
              <w:bottom w:val="single" w:sz="4" w:space="0" w:color="auto"/>
              <w:right w:val="single" w:sz="4" w:space="0" w:color="auto"/>
            </w:tcBorders>
            <w:shd w:val="clear" w:color="auto" w:fill="auto"/>
            <w:noWrap/>
            <w:hideMark/>
          </w:tcPr>
          <w:p w14:paraId="775C7930" w14:textId="77777777" w:rsidR="009E06B2" w:rsidRPr="00F54AE6" w:rsidRDefault="009E06B2"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Index</w:t>
            </w:r>
          </w:p>
        </w:tc>
        <w:tc>
          <w:tcPr>
            <w:tcW w:w="4768" w:type="dxa"/>
            <w:tcBorders>
              <w:top w:val="single" w:sz="4" w:space="0" w:color="auto"/>
              <w:left w:val="nil"/>
              <w:bottom w:val="single" w:sz="4" w:space="0" w:color="auto"/>
              <w:right w:val="single" w:sz="4" w:space="0" w:color="auto"/>
            </w:tcBorders>
            <w:shd w:val="clear" w:color="auto" w:fill="auto"/>
            <w:hideMark/>
          </w:tcPr>
          <w:p w14:paraId="31A22272" w14:textId="77777777" w:rsidR="009E06B2" w:rsidRPr="00F54AE6" w:rsidRDefault="009E06B2"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Environmental Performance Index (EPI) 2012</w:t>
            </w:r>
          </w:p>
        </w:tc>
        <w:tc>
          <w:tcPr>
            <w:tcW w:w="3690" w:type="dxa"/>
            <w:tcBorders>
              <w:top w:val="single" w:sz="4" w:space="0" w:color="auto"/>
              <w:left w:val="nil"/>
              <w:bottom w:val="single" w:sz="4" w:space="0" w:color="auto"/>
              <w:right w:val="single" w:sz="4" w:space="0" w:color="auto"/>
            </w:tcBorders>
            <w:shd w:val="clear" w:color="auto" w:fill="auto"/>
            <w:hideMark/>
          </w:tcPr>
          <w:p w14:paraId="34103A91" w14:textId="77777777" w:rsidR="009E06B2" w:rsidRPr="00F54AE6" w:rsidRDefault="009E06B2"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Yale Center for Environmental Law &amp; Policy; Columbia University</w:t>
            </w:r>
          </w:p>
        </w:tc>
      </w:tr>
      <w:tr w:rsidR="009E06B2" w:rsidRPr="009E06B2" w14:paraId="5164B268" w14:textId="77777777" w:rsidTr="00F54AE6">
        <w:trPr>
          <w:trHeight w:val="512"/>
        </w:trPr>
        <w:tc>
          <w:tcPr>
            <w:tcW w:w="827" w:type="dxa"/>
            <w:tcBorders>
              <w:top w:val="nil"/>
              <w:left w:val="single" w:sz="4" w:space="0" w:color="auto"/>
              <w:bottom w:val="single" w:sz="4" w:space="0" w:color="auto"/>
              <w:right w:val="single" w:sz="4" w:space="0" w:color="auto"/>
            </w:tcBorders>
            <w:shd w:val="clear" w:color="auto" w:fill="auto"/>
            <w:noWrap/>
            <w:hideMark/>
          </w:tcPr>
          <w:p w14:paraId="3B48FB57" w14:textId="77777777" w:rsidR="009E06B2" w:rsidRPr="00F54AE6" w:rsidRDefault="009E06B2"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Index</w:t>
            </w:r>
          </w:p>
        </w:tc>
        <w:tc>
          <w:tcPr>
            <w:tcW w:w="4768" w:type="dxa"/>
            <w:tcBorders>
              <w:top w:val="nil"/>
              <w:left w:val="nil"/>
              <w:bottom w:val="single" w:sz="4" w:space="0" w:color="auto"/>
              <w:right w:val="single" w:sz="4" w:space="0" w:color="auto"/>
            </w:tcBorders>
            <w:shd w:val="clear" w:color="auto" w:fill="auto"/>
            <w:hideMark/>
          </w:tcPr>
          <w:p w14:paraId="79DF0A33" w14:textId="77777777" w:rsidR="009E06B2" w:rsidRPr="00F54AE6" w:rsidRDefault="009E06B2"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Environmental Vulnerability Index (EVI) 2004</w:t>
            </w:r>
          </w:p>
        </w:tc>
        <w:tc>
          <w:tcPr>
            <w:tcW w:w="3690" w:type="dxa"/>
            <w:tcBorders>
              <w:top w:val="nil"/>
              <w:left w:val="nil"/>
              <w:bottom w:val="single" w:sz="4" w:space="0" w:color="auto"/>
              <w:right w:val="single" w:sz="4" w:space="0" w:color="auto"/>
            </w:tcBorders>
            <w:shd w:val="clear" w:color="auto" w:fill="auto"/>
            <w:hideMark/>
          </w:tcPr>
          <w:p w14:paraId="7C973F4F" w14:textId="77777777" w:rsidR="009E06B2" w:rsidRPr="00F54AE6" w:rsidRDefault="009E06B2"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South Pacific Applied Geoscience Commission (SOPAC); UNEP</w:t>
            </w:r>
          </w:p>
        </w:tc>
      </w:tr>
      <w:tr w:rsidR="009E06B2" w:rsidRPr="009E06B2" w14:paraId="5F343497" w14:textId="77777777" w:rsidTr="0031677F">
        <w:trPr>
          <w:trHeight w:val="300"/>
        </w:trPr>
        <w:tc>
          <w:tcPr>
            <w:tcW w:w="827" w:type="dxa"/>
            <w:tcBorders>
              <w:top w:val="nil"/>
              <w:left w:val="single" w:sz="4" w:space="0" w:color="auto"/>
              <w:bottom w:val="single" w:sz="4" w:space="0" w:color="auto"/>
              <w:right w:val="single" w:sz="4" w:space="0" w:color="auto"/>
            </w:tcBorders>
            <w:shd w:val="clear" w:color="auto" w:fill="auto"/>
            <w:noWrap/>
            <w:hideMark/>
          </w:tcPr>
          <w:p w14:paraId="1F1D319A" w14:textId="77777777" w:rsidR="009E06B2" w:rsidRPr="00F54AE6" w:rsidRDefault="009E06B2"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Index</w:t>
            </w:r>
          </w:p>
        </w:tc>
        <w:tc>
          <w:tcPr>
            <w:tcW w:w="4768" w:type="dxa"/>
            <w:tcBorders>
              <w:top w:val="nil"/>
              <w:left w:val="nil"/>
              <w:bottom w:val="single" w:sz="4" w:space="0" w:color="auto"/>
              <w:right w:val="single" w:sz="4" w:space="0" w:color="auto"/>
            </w:tcBorders>
            <w:shd w:val="clear" w:color="auto" w:fill="auto"/>
            <w:hideMark/>
          </w:tcPr>
          <w:p w14:paraId="3E04910D" w14:textId="77777777" w:rsidR="009E06B2" w:rsidRPr="00F54AE6" w:rsidRDefault="009E06B2"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 xml:space="preserve">Global Adaptation Index (GaIn) 2012 </w:t>
            </w:r>
          </w:p>
        </w:tc>
        <w:tc>
          <w:tcPr>
            <w:tcW w:w="3690" w:type="dxa"/>
            <w:tcBorders>
              <w:top w:val="nil"/>
              <w:left w:val="nil"/>
              <w:bottom w:val="single" w:sz="4" w:space="0" w:color="auto"/>
              <w:right w:val="single" w:sz="4" w:space="0" w:color="auto"/>
            </w:tcBorders>
            <w:shd w:val="clear" w:color="auto" w:fill="auto"/>
            <w:hideMark/>
          </w:tcPr>
          <w:p w14:paraId="503D6ABA" w14:textId="77777777" w:rsidR="009E06B2" w:rsidRPr="00F54AE6" w:rsidRDefault="009E06B2"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Global Adaptation Institute</w:t>
            </w:r>
          </w:p>
        </w:tc>
      </w:tr>
      <w:tr w:rsidR="0013250F" w:rsidRPr="009E06B2" w14:paraId="7C537FD7" w14:textId="77777777" w:rsidTr="0031677F">
        <w:trPr>
          <w:trHeight w:val="300"/>
        </w:trPr>
        <w:tc>
          <w:tcPr>
            <w:tcW w:w="827" w:type="dxa"/>
            <w:tcBorders>
              <w:top w:val="nil"/>
              <w:left w:val="single" w:sz="4" w:space="0" w:color="auto"/>
              <w:bottom w:val="single" w:sz="4" w:space="0" w:color="auto"/>
              <w:right w:val="single" w:sz="4" w:space="0" w:color="auto"/>
            </w:tcBorders>
            <w:shd w:val="clear" w:color="auto" w:fill="auto"/>
            <w:noWrap/>
          </w:tcPr>
          <w:p w14:paraId="70D26895"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Index</w:t>
            </w:r>
          </w:p>
        </w:tc>
        <w:tc>
          <w:tcPr>
            <w:tcW w:w="4768" w:type="dxa"/>
            <w:tcBorders>
              <w:top w:val="nil"/>
              <w:left w:val="nil"/>
              <w:bottom w:val="single" w:sz="4" w:space="0" w:color="auto"/>
              <w:right w:val="single" w:sz="4" w:space="0" w:color="auto"/>
            </w:tcBorders>
            <w:shd w:val="clear" w:color="auto" w:fill="auto"/>
          </w:tcPr>
          <w:p w14:paraId="53031344"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Hunger Reduction Commitment Index</w:t>
            </w:r>
            <w:r w:rsidR="007E667B" w:rsidRPr="00F54AE6">
              <w:rPr>
                <w:rFonts w:eastAsia="Times New Roman" w:cs="Times New Roman"/>
                <w:color w:val="000000"/>
                <w:sz w:val="20"/>
                <w:szCs w:val="20"/>
              </w:rPr>
              <w:t xml:space="preserve"> (HRCI) 2011</w:t>
            </w:r>
          </w:p>
        </w:tc>
        <w:tc>
          <w:tcPr>
            <w:tcW w:w="3690" w:type="dxa"/>
            <w:tcBorders>
              <w:top w:val="nil"/>
              <w:left w:val="nil"/>
              <w:bottom w:val="single" w:sz="4" w:space="0" w:color="auto"/>
              <w:right w:val="single" w:sz="4" w:space="0" w:color="auto"/>
            </w:tcBorders>
            <w:shd w:val="clear" w:color="auto" w:fill="auto"/>
          </w:tcPr>
          <w:p w14:paraId="3806EA33" w14:textId="77777777" w:rsidR="0013250F" w:rsidRPr="00F54AE6" w:rsidRDefault="00E93846"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Institute of Development Studies</w:t>
            </w:r>
          </w:p>
        </w:tc>
      </w:tr>
      <w:tr w:rsidR="0013250F" w:rsidRPr="009E06B2" w14:paraId="03C673C0" w14:textId="77777777" w:rsidTr="0031677F">
        <w:trPr>
          <w:trHeight w:val="300"/>
        </w:trPr>
        <w:tc>
          <w:tcPr>
            <w:tcW w:w="827" w:type="dxa"/>
            <w:tcBorders>
              <w:top w:val="nil"/>
              <w:left w:val="single" w:sz="4" w:space="0" w:color="auto"/>
              <w:bottom w:val="single" w:sz="4" w:space="0" w:color="auto"/>
              <w:right w:val="single" w:sz="4" w:space="0" w:color="auto"/>
            </w:tcBorders>
            <w:shd w:val="clear" w:color="auto" w:fill="auto"/>
            <w:noWrap/>
          </w:tcPr>
          <w:p w14:paraId="2A5C48BA"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Index</w:t>
            </w:r>
          </w:p>
        </w:tc>
        <w:tc>
          <w:tcPr>
            <w:tcW w:w="4768" w:type="dxa"/>
            <w:tcBorders>
              <w:top w:val="nil"/>
              <w:left w:val="nil"/>
              <w:bottom w:val="single" w:sz="4" w:space="0" w:color="auto"/>
              <w:right w:val="single" w:sz="4" w:space="0" w:color="auto"/>
            </w:tcBorders>
            <w:shd w:val="clear" w:color="auto" w:fill="auto"/>
          </w:tcPr>
          <w:p w14:paraId="315ED785"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Rice Bowl Index 2011</w:t>
            </w:r>
          </w:p>
        </w:tc>
        <w:tc>
          <w:tcPr>
            <w:tcW w:w="3690" w:type="dxa"/>
            <w:tcBorders>
              <w:top w:val="nil"/>
              <w:left w:val="nil"/>
              <w:bottom w:val="single" w:sz="4" w:space="0" w:color="auto"/>
              <w:right w:val="single" w:sz="4" w:space="0" w:color="auto"/>
            </w:tcBorders>
            <w:shd w:val="clear" w:color="auto" w:fill="auto"/>
          </w:tcPr>
          <w:p w14:paraId="1E7EDBE4"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Frontier Strategy Group/Syngenta</w:t>
            </w:r>
          </w:p>
        </w:tc>
      </w:tr>
      <w:tr w:rsidR="0013250F" w:rsidRPr="009E06B2" w14:paraId="661926FB" w14:textId="77777777" w:rsidTr="0031677F">
        <w:trPr>
          <w:trHeight w:val="300"/>
        </w:trPr>
        <w:tc>
          <w:tcPr>
            <w:tcW w:w="827" w:type="dxa"/>
            <w:tcBorders>
              <w:top w:val="nil"/>
              <w:left w:val="single" w:sz="4" w:space="0" w:color="auto"/>
              <w:bottom w:val="single" w:sz="4" w:space="0" w:color="auto"/>
              <w:right w:val="single" w:sz="4" w:space="0" w:color="auto"/>
            </w:tcBorders>
            <w:shd w:val="clear" w:color="auto" w:fill="auto"/>
            <w:noWrap/>
            <w:hideMark/>
          </w:tcPr>
          <w:p w14:paraId="6F534FE2"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Index</w:t>
            </w:r>
          </w:p>
        </w:tc>
        <w:tc>
          <w:tcPr>
            <w:tcW w:w="4768" w:type="dxa"/>
            <w:tcBorders>
              <w:top w:val="nil"/>
              <w:left w:val="nil"/>
              <w:bottom w:val="single" w:sz="4" w:space="0" w:color="auto"/>
              <w:right w:val="single" w:sz="4" w:space="0" w:color="auto"/>
            </w:tcBorders>
            <w:shd w:val="clear" w:color="auto" w:fill="auto"/>
            <w:hideMark/>
          </w:tcPr>
          <w:p w14:paraId="6A2C87B6"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Rule of Law Index (2012 - 2013)</w:t>
            </w:r>
          </w:p>
        </w:tc>
        <w:tc>
          <w:tcPr>
            <w:tcW w:w="3690" w:type="dxa"/>
            <w:tcBorders>
              <w:top w:val="nil"/>
              <w:left w:val="nil"/>
              <w:bottom w:val="single" w:sz="4" w:space="0" w:color="auto"/>
              <w:right w:val="single" w:sz="4" w:space="0" w:color="auto"/>
            </w:tcBorders>
            <w:shd w:val="clear" w:color="auto" w:fill="auto"/>
            <w:hideMark/>
          </w:tcPr>
          <w:p w14:paraId="495F3FA3"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World Justice Project</w:t>
            </w:r>
          </w:p>
        </w:tc>
      </w:tr>
      <w:tr w:rsidR="0013250F" w:rsidRPr="009E06B2" w14:paraId="23C8C800" w14:textId="77777777" w:rsidTr="0031677F">
        <w:trPr>
          <w:trHeight w:val="300"/>
        </w:trPr>
        <w:tc>
          <w:tcPr>
            <w:tcW w:w="827" w:type="dxa"/>
            <w:tcBorders>
              <w:top w:val="nil"/>
              <w:left w:val="single" w:sz="4" w:space="0" w:color="auto"/>
              <w:bottom w:val="single" w:sz="4" w:space="0" w:color="auto"/>
              <w:right w:val="single" w:sz="4" w:space="0" w:color="auto"/>
            </w:tcBorders>
            <w:shd w:val="clear" w:color="auto" w:fill="auto"/>
            <w:noWrap/>
          </w:tcPr>
          <w:p w14:paraId="6DF9520F"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Report</w:t>
            </w:r>
          </w:p>
        </w:tc>
        <w:tc>
          <w:tcPr>
            <w:tcW w:w="4768" w:type="dxa"/>
            <w:tcBorders>
              <w:top w:val="nil"/>
              <w:left w:val="nil"/>
              <w:bottom w:val="single" w:sz="4" w:space="0" w:color="auto"/>
              <w:right w:val="single" w:sz="4" w:space="0" w:color="auto"/>
            </w:tcBorders>
            <w:shd w:val="clear" w:color="auto" w:fill="auto"/>
          </w:tcPr>
          <w:p w14:paraId="10CDF25A"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Africa Capacity Indicators Report 2012</w:t>
            </w:r>
          </w:p>
        </w:tc>
        <w:tc>
          <w:tcPr>
            <w:tcW w:w="3690" w:type="dxa"/>
            <w:tcBorders>
              <w:top w:val="nil"/>
              <w:left w:val="nil"/>
              <w:bottom w:val="single" w:sz="4" w:space="0" w:color="auto"/>
              <w:right w:val="single" w:sz="4" w:space="0" w:color="auto"/>
            </w:tcBorders>
            <w:shd w:val="clear" w:color="auto" w:fill="auto"/>
          </w:tcPr>
          <w:p w14:paraId="47D7258F"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African Capacity Building Foundation</w:t>
            </w:r>
          </w:p>
        </w:tc>
      </w:tr>
      <w:tr w:rsidR="0013250F" w:rsidRPr="009E06B2" w14:paraId="49573985" w14:textId="77777777" w:rsidTr="00F54AE6">
        <w:trPr>
          <w:trHeight w:val="782"/>
        </w:trPr>
        <w:tc>
          <w:tcPr>
            <w:tcW w:w="827" w:type="dxa"/>
            <w:tcBorders>
              <w:top w:val="nil"/>
              <w:left w:val="single" w:sz="4" w:space="0" w:color="auto"/>
              <w:bottom w:val="single" w:sz="4" w:space="0" w:color="auto"/>
              <w:right w:val="single" w:sz="4" w:space="0" w:color="auto"/>
            </w:tcBorders>
            <w:shd w:val="clear" w:color="auto" w:fill="auto"/>
            <w:noWrap/>
            <w:hideMark/>
          </w:tcPr>
          <w:p w14:paraId="68AD74CD"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Report</w:t>
            </w:r>
          </w:p>
        </w:tc>
        <w:tc>
          <w:tcPr>
            <w:tcW w:w="4768" w:type="dxa"/>
            <w:tcBorders>
              <w:top w:val="nil"/>
              <w:left w:val="nil"/>
              <w:bottom w:val="single" w:sz="4" w:space="0" w:color="auto"/>
              <w:right w:val="single" w:sz="4" w:space="0" w:color="auto"/>
            </w:tcBorders>
            <w:shd w:val="clear" w:color="auto" w:fill="auto"/>
            <w:hideMark/>
          </w:tcPr>
          <w:p w14:paraId="6166BD47"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Agricultural Policy: Monitoring and Evaluation (2012); Agricultural Policies in Emerging Economies: Monitoring and Evaluation (2009)</w:t>
            </w:r>
          </w:p>
        </w:tc>
        <w:tc>
          <w:tcPr>
            <w:tcW w:w="3690" w:type="dxa"/>
            <w:tcBorders>
              <w:top w:val="nil"/>
              <w:left w:val="nil"/>
              <w:bottom w:val="single" w:sz="4" w:space="0" w:color="auto"/>
              <w:right w:val="single" w:sz="4" w:space="0" w:color="auto"/>
            </w:tcBorders>
            <w:shd w:val="clear" w:color="auto" w:fill="auto"/>
            <w:hideMark/>
          </w:tcPr>
          <w:p w14:paraId="3D7840B5"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Organisation for Economic Cooperation and Development (OECD)</w:t>
            </w:r>
          </w:p>
        </w:tc>
      </w:tr>
      <w:tr w:rsidR="0013250F" w:rsidRPr="009E06B2" w14:paraId="5115A46C" w14:textId="77777777" w:rsidTr="00F54AE6">
        <w:trPr>
          <w:trHeight w:val="440"/>
        </w:trPr>
        <w:tc>
          <w:tcPr>
            <w:tcW w:w="827" w:type="dxa"/>
            <w:tcBorders>
              <w:top w:val="nil"/>
              <w:left w:val="single" w:sz="4" w:space="0" w:color="auto"/>
              <w:bottom w:val="single" w:sz="4" w:space="0" w:color="auto"/>
              <w:right w:val="single" w:sz="4" w:space="0" w:color="auto"/>
            </w:tcBorders>
            <w:shd w:val="clear" w:color="auto" w:fill="auto"/>
            <w:noWrap/>
            <w:hideMark/>
          </w:tcPr>
          <w:p w14:paraId="32466E05"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Report</w:t>
            </w:r>
          </w:p>
        </w:tc>
        <w:tc>
          <w:tcPr>
            <w:tcW w:w="4768" w:type="dxa"/>
            <w:tcBorders>
              <w:top w:val="nil"/>
              <w:left w:val="nil"/>
              <w:bottom w:val="single" w:sz="4" w:space="0" w:color="auto"/>
              <w:right w:val="single" w:sz="4" w:space="0" w:color="auto"/>
            </w:tcBorders>
            <w:shd w:val="clear" w:color="auto" w:fill="auto"/>
            <w:hideMark/>
          </w:tcPr>
          <w:p w14:paraId="52F79353"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Agricultural Science &amp; Technology Indicators (ASTI)</w:t>
            </w:r>
          </w:p>
        </w:tc>
        <w:tc>
          <w:tcPr>
            <w:tcW w:w="3690" w:type="dxa"/>
            <w:tcBorders>
              <w:top w:val="nil"/>
              <w:left w:val="nil"/>
              <w:bottom w:val="single" w:sz="4" w:space="0" w:color="auto"/>
              <w:right w:val="single" w:sz="4" w:space="0" w:color="auto"/>
            </w:tcBorders>
            <w:shd w:val="clear" w:color="auto" w:fill="auto"/>
            <w:hideMark/>
          </w:tcPr>
          <w:p w14:paraId="7EDBCB5D"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International Food Policy Research Institute (IFPRI)</w:t>
            </w:r>
          </w:p>
        </w:tc>
      </w:tr>
      <w:tr w:rsidR="0013250F" w:rsidRPr="009E06B2" w14:paraId="7BF95738" w14:textId="77777777" w:rsidTr="00F54AE6">
        <w:trPr>
          <w:trHeight w:val="665"/>
        </w:trPr>
        <w:tc>
          <w:tcPr>
            <w:tcW w:w="827" w:type="dxa"/>
            <w:tcBorders>
              <w:top w:val="nil"/>
              <w:left w:val="single" w:sz="4" w:space="0" w:color="auto"/>
              <w:bottom w:val="single" w:sz="4" w:space="0" w:color="auto"/>
              <w:right w:val="single" w:sz="4" w:space="0" w:color="auto"/>
            </w:tcBorders>
            <w:shd w:val="clear" w:color="auto" w:fill="auto"/>
            <w:noWrap/>
            <w:hideMark/>
          </w:tcPr>
          <w:p w14:paraId="4651A3D1"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Report</w:t>
            </w:r>
          </w:p>
        </w:tc>
        <w:tc>
          <w:tcPr>
            <w:tcW w:w="4768" w:type="dxa"/>
            <w:tcBorders>
              <w:top w:val="nil"/>
              <w:left w:val="nil"/>
              <w:bottom w:val="single" w:sz="4" w:space="0" w:color="auto"/>
              <w:right w:val="single" w:sz="4" w:space="0" w:color="auto"/>
            </w:tcBorders>
            <w:shd w:val="clear" w:color="auto" w:fill="auto"/>
            <w:hideMark/>
          </w:tcPr>
          <w:p w14:paraId="450667EF"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Environmental and Socioeconomic Indicators for Measuring Outcomes of On-Farm Agricultural P</w:t>
            </w:r>
            <w:r w:rsidR="00FE7A12" w:rsidRPr="00F54AE6">
              <w:rPr>
                <w:rFonts w:eastAsia="Times New Roman" w:cs="Times New Roman"/>
                <w:color w:val="000000"/>
                <w:sz w:val="20"/>
                <w:szCs w:val="20"/>
              </w:rPr>
              <w:t>roduction in the United States 2012</w:t>
            </w:r>
          </w:p>
        </w:tc>
        <w:tc>
          <w:tcPr>
            <w:tcW w:w="3690" w:type="dxa"/>
            <w:tcBorders>
              <w:top w:val="nil"/>
              <w:left w:val="nil"/>
              <w:bottom w:val="single" w:sz="4" w:space="0" w:color="auto"/>
              <w:right w:val="single" w:sz="4" w:space="0" w:color="auto"/>
            </w:tcBorders>
            <w:shd w:val="clear" w:color="auto" w:fill="auto"/>
            <w:hideMark/>
          </w:tcPr>
          <w:p w14:paraId="21CE21F4"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Field to Market, The Keystone Alliance for Sustainable Agriculture, The Keystone Center</w:t>
            </w:r>
          </w:p>
        </w:tc>
      </w:tr>
      <w:tr w:rsidR="0013250F" w:rsidRPr="009E06B2" w14:paraId="346421EF" w14:textId="77777777" w:rsidTr="00F54AE6">
        <w:trPr>
          <w:trHeight w:val="557"/>
        </w:trPr>
        <w:tc>
          <w:tcPr>
            <w:tcW w:w="827" w:type="dxa"/>
            <w:tcBorders>
              <w:top w:val="nil"/>
              <w:left w:val="single" w:sz="4" w:space="0" w:color="auto"/>
              <w:bottom w:val="single" w:sz="4" w:space="0" w:color="auto"/>
              <w:right w:val="single" w:sz="4" w:space="0" w:color="auto"/>
            </w:tcBorders>
            <w:shd w:val="clear" w:color="auto" w:fill="auto"/>
            <w:noWrap/>
            <w:hideMark/>
          </w:tcPr>
          <w:p w14:paraId="2793E76C"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Report</w:t>
            </w:r>
          </w:p>
        </w:tc>
        <w:tc>
          <w:tcPr>
            <w:tcW w:w="4768" w:type="dxa"/>
            <w:tcBorders>
              <w:top w:val="nil"/>
              <w:left w:val="nil"/>
              <w:bottom w:val="single" w:sz="4" w:space="0" w:color="auto"/>
              <w:right w:val="single" w:sz="4" w:space="0" w:color="auto"/>
            </w:tcBorders>
            <w:shd w:val="clear" w:color="auto" w:fill="auto"/>
            <w:hideMark/>
          </w:tcPr>
          <w:p w14:paraId="7021D93F"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Integration of environment into EU agriculture policy - the IRENA ind</w:t>
            </w:r>
            <w:r w:rsidR="00844C66" w:rsidRPr="00F54AE6">
              <w:rPr>
                <w:rFonts w:eastAsia="Times New Roman" w:cs="Times New Roman"/>
                <w:color w:val="000000"/>
                <w:sz w:val="20"/>
                <w:szCs w:val="20"/>
              </w:rPr>
              <w:t>icator-based assessment report 2006</w:t>
            </w:r>
          </w:p>
        </w:tc>
        <w:tc>
          <w:tcPr>
            <w:tcW w:w="3690" w:type="dxa"/>
            <w:tcBorders>
              <w:top w:val="nil"/>
              <w:left w:val="nil"/>
              <w:bottom w:val="single" w:sz="4" w:space="0" w:color="auto"/>
              <w:right w:val="single" w:sz="4" w:space="0" w:color="auto"/>
            </w:tcBorders>
            <w:shd w:val="clear" w:color="auto" w:fill="auto"/>
            <w:hideMark/>
          </w:tcPr>
          <w:p w14:paraId="5D983CDF"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European Environment Agency</w:t>
            </w:r>
          </w:p>
        </w:tc>
      </w:tr>
      <w:tr w:rsidR="0013250F" w:rsidRPr="009E06B2" w14:paraId="084DA246" w14:textId="77777777" w:rsidTr="00F54AE6">
        <w:trPr>
          <w:trHeight w:val="440"/>
        </w:trPr>
        <w:tc>
          <w:tcPr>
            <w:tcW w:w="827" w:type="dxa"/>
            <w:tcBorders>
              <w:top w:val="nil"/>
              <w:left w:val="single" w:sz="4" w:space="0" w:color="auto"/>
              <w:bottom w:val="single" w:sz="4" w:space="0" w:color="auto"/>
              <w:right w:val="single" w:sz="4" w:space="0" w:color="auto"/>
            </w:tcBorders>
            <w:shd w:val="clear" w:color="auto" w:fill="auto"/>
            <w:noWrap/>
            <w:hideMark/>
          </w:tcPr>
          <w:p w14:paraId="0076AF63"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Report</w:t>
            </w:r>
          </w:p>
        </w:tc>
        <w:tc>
          <w:tcPr>
            <w:tcW w:w="4768" w:type="dxa"/>
            <w:tcBorders>
              <w:top w:val="nil"/>
              <w:left w:val="nil"/>
              <w:bottom w:val="single" w:sz="4" w:space="0" w:color="auto"/>
              <w:right w:val="single" w:sz="4" w:space="0" w:color="auto"/>
            </w:tcBorders>
            <w:shd w:val="clear" w:color="auto" w:fill="auto"/>
            <w:hideMark/>
          </w:tcPr>
          <w:p w14:paraId="6433091B"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Environmental Performance of Agriculture in OECD Countries Since 1990</w:t>
            </w:r>
          </w:p>
        </w:tc>
        <w:tc>
          <w:tcPr>
            <w:tcW w:w="3690" w:type="dxa"/>
            <w:tcBorders>
              <w:top w:val="nil"/>
              <w:left w:val="nil"/>
              <w:bottom w:val="single" w:sz="4" w:space="0" w:color="auto"/>
              <w:right w:val="single" w:sz="4" w:space="0" w:color="auto"/>
            </w:tcBorders>
            <w:shd w:val="clear" w:color="auto" w:fill="auto"/>
            <w:hideMark/>
          </w:tcPr>
          <w:p w14:paraId="14F14E18"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Organisation for Economic Cooperation and Development (OECD)</w:t>
            </w:r>
          </w:p>
        </w:tc>
      </w:tr>
      <w:tr w:rsidR="0013250F" w:rsidRPr="009E06B2" w14:paraId="39D8AEE3" w14:textId="77777777" w:rsidTr="00F54AE6">
        <w:trPr>
          <w:trHeight w:val="575"/>
        </w:trPr>
        <w:tc>
          <w:tcPr>
            <w:tcW w:w="827" w:type="dxa"/>
            <w:tcBorders>
              <w:top w:val="nil"/>
              <w:left w:val="single" w:sz="4" w:space="0" w:color="auto"/>
              <w:bottom w:val="single" w:sz="4" w:space="0" w:color="auto"/>
              <w:right w:val="single" w:sz="4" w:space="0" w:color="auto"/>
            </w:tcBorders>
            <w:shd w:val="clear" w:color="auto" w:fill="auto"/>
            <w:noWrap/>
            <w:hideMark/>
          </w:tcPr>
          <w:p w14:paraId="255709B5"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Report</w:t>
            </w:r>
          </w:p>
        </w:tc>
        <w:tc>
          <w:tcPr>
            <w:tcW w:w="4768" w:type="dxa"/>
            <w:tcBorders>
              <w:top w:val="nil"/>
              <w:left w:val="nil"/>
              <w:bottom w:val="single" w:sz="4" w:space="0" w:color="auto"/>
              <w:right w:val="single" w:sz="4" w:space="0" w:color="auto"/>
            </w:tcBorders>
            <w:shd w:val="clear" w:color="auto" w:fill="auto"/>
            <w:hideMark/>
          </w:tcPr>
          <w:p w14:paraId="171C3A06"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Indicators from the global and sub-global Millennium Ecosystem Assessments: An analysis and next steps</w:t>
            </w:r>
          </w:p>
        </w:tc>
        <w:tc>
          <w:tcPr>
            <w:tcW w:w="3690" w:type="dxa"/>
            <w:tcBorders>
              <w:top w:val="nil"/>
              <w:left w:val="nil"/>
              <w:bottom w:val="single" w:sz="4" w:space="0" w:color="auto"/>
              <w:right w:val="single" w:sz="4" w:space="0" w:color="auto"/>
            </w:tcBorders>
            <w:shd w:val="clear" w:color="auto" w:fill="auto"/>
            <w:hideMark/>
          </w:tcPr>
          <w:p w14:paraId="30EAC6C8"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World Resources Institute</w:t>
            </w:r>
          </w:p>
        </w:tc>
      </w:tr>
      <w:tr w:rsidR="0013250F" w:rsidRPr="009E06B2" w14:paraId="3176DBAB" w14:textId="77777777" w:rsidTr="0031677F">
        <w:trPr>
          <w:trHeight w:val="600"/>
        </w:trPr>
        <w:tc>
          <w:tcPr>
            <w:tcW w:w="827" w:type="dxa"/>
            <w:tcBorders>
              <w:top w:val="nil"/>
              <w:left w:val="single" w:sz="4" w:space="0" w:color="auto"/>
              <w:bottom w:val="single" w:sz="4" w:space="0" w:color="auto"/>
              <w:right w:val="single" w:sz="4" w:space="0" w:color="auto"/>
            </w:tcBorders>
            <w:shd w:val="clear" w:color="auto" w:fill="auto"/>
            <w:noWrap/>
            <w:hideMark/>
          </w:tcPr>
          <w:p w14:paraId="48BA1833"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Report</w:t>
            </w:r>
          </w:p>
        </w:tc>
        <w:tc>
          <w:tcPr>
            <w:tcW w:w="4768" w:type="dxa"/>
            <w:tcBorders>
              <w:top w:val="nil"/>
              <w:left w:val="nil"/>
              <w:bottom w:val="single" w:sz="4" w:space="0" w:color="auto"/>
              <w:right w:val="single" w:sz="4" w:space="0" w:color="auto"/>
            </w:tcBorders>
            <w:shd w:val="clear" w:color="auto" w:fill="auto"/>
            <w:hideMark/>
          </w:tcPr>
          <w:p w14:paraId="263F3F49"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National water footprint accounts: The green, blue and grey water footprint of p</w:t>
            </w:r>
            <w:r w:rsidR="00844C66" w:rsidRPr="00F54AE6">
              <w:rPr>
                <w:rFonts w:eastAsia="Times New Roman" w:cs="Times New Roman"/>
                <w:color w:val="000000"/>
                <w:sz w:val="20"/>
                <w:szCs w:val="20"/>
              </w:rPr>
              <w:t>roduction and consumption 2011</w:t>
            </w:r>
          </w:p>
        </w:tc>
        <w:tc>
          <w:tcPr>
            <w:tcW w:w="3690" w:type="dxa"/>
            <w:tcBorders>
              <w:top w:val="nil"/>
              <w:left w:val="nil"/>
              <w:bottom w:val="single" w:sz="4" w:space="0" w:color="auto"/>
              <w:right w:val="single" w:sz="4" w:space="0" w:color="auto"/>
            </w:tcBorders>
            <w:shd w:val="clear" w:color="auto" w:fill="auto"/>
            <w:hideMark/>
          </w:tcPr>
          <w:p w14:paraId="636B966E"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 xml:space="preserve">Water Footprint Network; UNESCO-IHE Institute for Water Education </w:t>
            </w:r>
          </w:p>
        </w:tc>
      </w:tr>
      <w:tr w:rsidR="0013250F" w:rsidRPr="009E06B2" w14:paraId="21A709CF" w14:textId="77777777" w:rsidTr="00F54AE6">
        <w:trPr>
          <w:trHeight w:val="503"/>
        </w:trPr>
        <w:tc>
          <w:tcPr>
            <w:tcW w:w="827" w:type="dxa"/>
            <w:tcBorders>
              <w:top w:val="nil"/>
              <w:left w:val="single" w:sz="4" w:space="0" w:color="auto"/>
              <w:bottom w:val="single" w:sz="4" w:space="0" w:color="auto"/>
              <w:right w:val="single" w:sz="4" w:space="0" w:color="auto"/>
            </w:tcBorders>
            <w:shd w:val="clear" w:color="auto" w:fill="auto"/>
            <w:noWrap/>
            <w:hideMark/>
          </w:tcPr>
          <w:p w14:paraId="37D60391"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Report</w:t>
            </w:r>
          </w:p>
        </w:tc>
        <w:tc>
          <w:tcPr>
            <w:tcW w:w="4768" w:type="dxa"/>
            <w:tcBorders>
              <w:top w:val="nil"/>
              <w:left w:val="nil"/>
              <w:bottom w:val="single" w:sz="4" w:space="0" w:color="auto"/>
              <w:right w:val="single" w:sz="4" w:space="0" w:color="auto"/>
            </w:tcBorders>
            <w:shd w:val="clear" w:color="auto" w:fill="auto"/>
            <w:hideMark/>
          </w:tcPr>
          <w:p w14:paraId="2853A05A"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Resource Revolution: Meeting the world's energy, m</w:t>
            </w:r>
            <w:r w:rsidR="00844C66" w:rsidRPr="00F54AE6">
              <w:rPr>
                <w:rFonts w:eastAsia="Times New Roman" w:cs="Times New Roman"/>
                <w:color w:val="000000"/>
                <w:sz w:val="20"/>
                <w:szCs w:val="20"/>
              </w:rPr>
              <w:t xml:space="preserve">aterials, food, and water needs </w:t>
            </w:r>
            <w:r w:rsidRPr="00F54AE6">
              <w:rPr>
                <w:rFonts w:eastAsia="Times New Roman" w:cs="Times New Roman"/>
                <w:color w:val="000000"/>
                <w:sz w:val="20"/>
                <w:szCs w:val="20"/>
              </w:rPr>
              <w:t>2</w:t>
            </w:r>
            <w:r w:rsidR="00844C66" w:rsidRPr="00F54AE6">
              <w:rPr>
                <w:rFonts w:eastAsia="Times New Roman" w:cs="Times New Roman"/>
                <w:color w:val="000000"/>
                <w:sz w:val="20"/>
                <w:szCs w:val="20"/>
              </w:rPr>
              <w:t>011</w:t>
            </w:r>
          </w:p>
        </w:tc>
        <w:tc>
          <w:tcPr>
            <w:tcW w:w="3690" w:type="dxa"/>
            <w:tcBorders>
              <w:top w:val="nil"/>
              <w:left w:val="nil"/>
              <w:bottom w:val="single" w:sz="4" w:space="0" w:color="auto"/>
              <w:right w:val="single" w:sz="4" w:space="0" w:color="auto"/>
            </w:tcBorders>
            <w:shd w:val="clear" w:color="auto" w:fill="auto"/>
            <w:hideMark/>
          </w:tcPr>
          <w:p w14:paraId="2B3B6BE5"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McKinsey Global Institute</w:t>
            </w:r>
          </w:p>
        </w:tc>
      </w:tr>
      <w:tr w:rsidR="0013250F" w:rsidRPr="009E06B2" w14:paraId="3FDA3133" w14:textId="77777777" w:rsidTr="0031677F">
        <w:trPr>
          <w:trHeight w:val="300"/>
        </w:trPr>
        <w:tc>
          <w:tcPr>
            <w:tcW w:w="827" w:type="dxa"/>
            <w:tcBorders>
              <w:top w:val="nil"/>
              <w:left w:val="single" w:sz="4" w:space="0" w:color="auto"/>
              <w:bottom w:val="single" w:sz="4" w:space="0" w:color="auto"/>
              <w:right w:val="single" w:sz="4" w:space="0" w:color="auto"/>
            </w:tcBorders>
            <w:shd w:val="clear" w:color="auto" w:fill="auto"/>
            <w:noWrap/>
            <w:hideMark/>
          </w:tcPr>
          <w:p w14:paraId="203006F8"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Data</w:t>
            </w:r>
          </w:p>
        </w:tc>
        <w:tc>
          <w:tcPr>
            <w:tcW w:w="4768" w:type="dxa"/>
            <w:tcBorders>
              <w:top w:val="nil"/>
              <w:left w:val="nil"/>
              <w:bottom w:val="single" w:sz="4" w:space="0" w:color="auto"/>
              <w:right w:val="single" w:sz="4" w:space="0" w:color="auto"/>
            </w:tcBorders>
            <w:shd w:val="clear" w:color="auto" w:fill="auto"/>
            <w:hideMark/>
          </w:tcPr>
          <w:p w14:paraId="6D88177B"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Aqueduct Water Risk Atlas</w:t>
            </w:r>
          </w:p>
        </w:tc>
        <w:tc>
          <w:tcPr>
            <w:tcW w:w="3690" w:type="dxa"/>
            <w:tcBorders>
              <w:top w:val="nil"/>
              <w:left w:val="nil"/>
              <w:bottom w:val="single" w:sz="4" w:space="0" w:color="auto"/>
              <w:right w:val="single" w:sz="4" w:space="0" w:color="auto"/>
            </w:tcBorders>
            <w:shd w:val="clear" w:color="auto" w:fill="auto"/>
            <w:hideMark/>
          </w:tcPr>
          <w:p w14:paraId="18F9BD27"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World Resources Institute</w:t>
            </w:r>
          </w:p>
        </w:tc>
      </w:tr>
      <w:tr w:rsidR="0013250F" w:rsidRPr="009E06B2" w14:paraId="3AE0F96F" w14:textId="77777777" w:rsidTr="0031677F">
        <w:trPr>
          <w:trHeight w:val="300"/>
        </w:trPr>
        <w:tc>
          <w:tcPr>
            <w:tcW w:w="827" w:type="dxa"/>
            <w:tcBorders>
              <w:top w:val="nil"/>
              <w:left w:val="single" w:sz="4" w:space="0" w:color="auto"/>
              <w:bottom w:val="single" w:sz="4" w:space="0" w:color="auto"/>
              <w:right w:val="single" w:sz="4" w:space="0" w:color="auto"/>
            </w:tcBorders>
            <w:shd w:val="clear" w:color="auto" w:fill="auto"/>
            <w:noWrap/>
            <w:hideMark/>
          </w:tcPr>
          <w:p w14:paraId="309E3590"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Data</w:t>
            </w:r>
          </w:p>
        </w:tc>
        <w:tc>
          <w:tcPr>
            <w:tcW w:w="4768" w:type="dxa"/>
            <w:tcBorders>
              <w:top w:val="nil"/>
              <w:left w:val="nil"/>
              <w:bottom w:val="single" w:sz="4" w:space="0" w:color="auto"/>
              <w:right w:val="single" w:sz="4" w:space="0" w:color="auto"/>
            </w:tcBorders>
            <w:shd w:val="clear" w:color="auto" w:fill="auto"/>
            <w:hideMark/>
          </w:tcPr>
          <w:p w14:paraId="4079AC74" w14:textId="151A1485"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ECOLEX</w:t>
            </w:r>
            <w:r w:rsidR="00A950C9">
              <w:rPr>
                <w:rFonts w:eastAsia="Times New Roman" w:cs="Times New Roman"/>
                <w:color w:val="000000"/>
                <w:sz w:val="20"/>
                <w:szCs w:val="20"/>
              </w:rPr>
              <w:t xml:space="preserve"> Global Database of Environmental Law</w:t>
            </w:r>
          </w:p>
        </w:tc>
        <w:tc>
          <w:tcPr>
            <w:tcW w:w="3690" w:type="dxa"/>
            <w:tcBorders>
              <w:top w:val="nil"/>
              <w:left w:val="nil"/>
              <w:bottom w:val="single" w:sz="4" w:space="0" w:color="auto"/>
              <w:right w:val="single" w:sz="4" w:space="0" w:color="auto"/>
            </w:tcBorders>
            <w:shd w:val="clear" w:color="auto" w:fill="auto"/>
            <w:hideMark/>
          </w:tcPr>
          <w:p w14:paraId="16D9C180"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FAO, IUCN and UNEP</w:t>
            </w:r>
          </w:p>
        </w:tc>
      </w:tr>
      <w:tr w:rsidR="0013250F" w:rsidRPr="009E06B2" w14:paraId="1A5CCD7F" w14:textId="77777777" w:rsidTr="00F54AE6">
        <w:trPr>
          <w:trHeight w:val="458"/>
        </w:trPr>
        <w:tc>
          <w:tcPr>
            <w:tcW w:w="827" w:type="dxa"/>
            <w:tcBorders>
              <w:top w:val="nil"/>
              <w:left w:val="single" w:sz="4" w:space="0" w:color="auto"/>
              <w:bottom w:val="single" w:sz="4" w:space="0" w:color="auto"/>
              <w:right w:val="single" w:sz="4" w:space="0" w:color="auto"/>
            </w:tcBorders>
            <w:shd w:val="clear" w:color="auto" w:fill="auto"/>
            <w:noWrap/>
            <w:hideMark/>
          </w:tcPr>
          <w:p w14:paraId="63CDD80F"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Data</w:t>
            </w:r>
          </w:p>
        </w:tc>
        <w:tc>
          <w:tcPr>
            <w:tcW w:w="4768" w:type="dxa"/>
            <w:tcBorders>
              <w:top w:val="nil"/>
              <w:left w:val="nil"/>
              <w:bottom w:val="single" w:sz="4" w:space="0" w:color="auto"/>
              <w:right w:val="single" w:sz="4" w:space="0" w:color="auto"/>
            </w:tcBorders>
            <w:shd w:val="clear" w:color="auto" w:fill="auto"/>
            <w:hideMark/>
          </w:tcPr>
          <w:p w14:paraId="6AE6B540" w14:textId="7B76B757" w:rsidR="0013250F" w:rsidRPr="00F54AE6" w:rsidRDefault="0013250F" w:rsidP="00A950C9">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 xml:space="preserve">FAO </w:t>
            </w:r>
            <w:r w:rsidR="00A950C9">
              <w:rPr>
                <w:rFonts w:eastAsia="Times New Roman" w:cs="Times New Roman"/>
                <w:color w:val="000000"/>
                <w:sz w:val="20"/>
                <w:szCs w:val="20"/>
              </w:rPr>
              <w:t>AQUASTAT (Information system on water and agriculture)</w:t>
            </w:r>
          </w:p>
        </w:tc>
        <w:tc>
          <w:tcPr>
            <w:tcW w:w="3690" w:type="dxa"/>
            <w:tcBorders>
              <w:top w:val="nil"/>
              <w:left w:val="nil"/>
              <w:bottom w:val="single" w:sz="4" w:space="0" w:color="auto"/>
              <w:right w:val="single" w:sz="4" w:space="0" w:color="auto"/>
            </w:tcBorders>
            <w:shd w:val="clear" w:color="auto" w:fill="auto"/>
            <w:hideMark/>
          </w:tcPr>
          <w:p w14:paraId="2FC4577B"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Food and Agriculture Organization of the United Nations (FAO)</w:t>
            </w:r>
          </w:p>
        </w:tc>
      </w:tr>
      <w:tr w:rsidR="0013250F" w:rsidRPr="009E06B2" w14:paraId="2CC0827C" w14:textId="77777777" w:rsidTr="00F54AE6">
        <w:trPr>
          <w:trHeight w:val="485"/>
        </w:trPr>
        <w:tc>
          <w:tcPr>
            <w:tcW w:w="827" w:type="dxa"/>
            <w:tcBorders>
              <w:top w:val="nil"/>
              <w:left w:val="single" w:sz="4" w:space="0" w:color="auto"/>
              <w:bottom w:val="single" w:sz="4" w:space="0" w:color="auto"/>
              <w:right w:val="single" w:sz="4" w:space="0" w:color="auto"/>
            </w:tcBorders>
            <w:shd w:val="clear" w:color="auto" w:fill="auto"/>
            <w:noWrap/>
            <w:hideMark/>
          </w:tcPr>
          <w:p w14:paraId="7544435F"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Data</w:t>
            </w:r>
          </w:p>
        </w:tc>
        <w:tc>
          <w:tcPr>
            <w:tcW w:w="4768" w:type="dxa"/>
            <w:tcBorders>
              <w:top w:val="nil"/>
              <w:left w:val="nil"/>
              <w:bottom w:val="single" w:sz="4" w:space="0" w:color="auto"/>
              <w:right w:val="single" w:sz="4" w:space="0" w:color="auto"/>
            </w:tcBorders>
            <w:shd w:val="clear" w:color="auto" w:fill="auto"/>
            <w:hideMark/>
          </w:tcPr>
          <w:p w14:paraId="56D9833B" w14:textId="14648BB4" w:rsidR="0013250F" w:rsidRPr="00F54AE6" w:rsidRDefault="0013250F" w:rsidP="00A950C9">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FAOSTAT</w:t>
            </w:r>
            <w:r w:rsidR="00A950C9">
              <w:rPr>
                <w:rFonts w:eastAsia="Times New Roman" w:cs="Times New Roman"/>
                <w:color w:val="000000"/>
                <w:sz w:val="20"/>
                <w:szCs w:val="20"/>
              </w:rPr>
              <w:t xml:space="preserve"> (Information system on hunger, food, and agriculture)</w:t>
            </w:r>
          </w:p>
        </w:tc>
        <w:tc>
          <w:tcPr>
            <w:tcW w:w="3690" w:type="dxa"/>
            <w:tcBorders>
              <w:top w:val="nil"/>
              <w:left w:val="nil"/>
              <w:bottom w:val="single" w:sz="4" w:space="0" w:color="auto"/>
              <w:right w:val="single" w:sz="4" w:space="0" w:color="auto"/>
            </w:tcBorders>
            <w:shd w:val="clear" w:color="auto" w:fill="auto"/>
            <w:hideMark/>
          </w:tcPr>
          <w:p w14:paraId="718C41AD"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Food and Agriculture Organization of the United Nations (FAO)</w:t>
            </w:r>
          </w:p>
        </w:tc>
      </w:tr>
      <w:tr w:rsidR="0013250F" w:rsidRPr="009E06B2" w14:paraId="03BB460C" w14:textId="77777777" w:rsidTr="00F54AE6">
        <w:trPr>
          <w:trHeight w:val="260"/>
        </w:trPr>
        <w:tc>
          <w:tcPr>
            <w:tcW w:w="827" w:type="dxa"/>
            <w:tcBorders>
              <w:top w:val="nil"/>
              <w:left w:val="single" w:sz="4" w:space="0" w:color="auto"/>
              <w:bottom w:val="single" w:sz="4" w:space="0" w:color="auto"/>
              <w:right w:val="single" w:sz="4" w:space="0" w:color="auto"/>
            </w:tcBorders>
            <w:shd w:val="clear" w:color="auto" w:fill="auto"/>
            <w:noWrap/>
          </w:tcPr>
          <w:p w14:paraId="705A9374"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Data</w:t>
            </w:r>
          </w:p>
        </w:tc>
        <w:tc>
          <w:tcPr>
            <w:tcW w:w="4768" w:type="dxa"/>
            <w:tcBorders>
              <w:top w:val="nil"/>
              <w:left w:val="nil"/>
              <w:bottom w:val="single" w:sz="4" w:space="0" w:color="auto"/>
              <w:right w:val="single" w:sz="4" w:space="0" w:color="auto"/>
            </w:tcBorders>
            <w:shd w:val="clear" w:color="auto" w:fill="auto"/>
          </w:tcPr>
          <w:p w14:paraId="5DD7C31F"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Global Eutrophic and Hypoxic Coastal Systems</w:t>
            </w:r>
          </w:p>
        </w:tc>
        <w:tc>
          <w:tcPr>
            <w:tcW w:w="3690" w:type="dxa"/>
            <w:tcBorders>
              <w:top w:val="nil"/>
              <w:left w:val="nil"/>
              <w:bottom w:val="single" w:sz="4" w:space="0" w:color="auto"/>
              <w:right w:val="single" w:sz="4" w:space="0" w:color="auto"/>
            </w:tcBorders>
            <w:shd w:val="clear" w:color="auto" w:fill="auto"/>
          </w:tcPr>
          <w:p w14:paraId="39657160"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World Resources Institute</w:t>
            </w:r>
          </w:p>
        </w:tc>
      </w:tr>
      <w:tr w:rsidR="0096401D" w:rsidRPr="009E06B2" w14:paraId="02A929EB" w14:textId="77777777" w:rsidTr="00F54AE6">
        <w:trPr>
          <w:trHeight w:val="260"/>
        </w:trPr>
        <w:tc>
          <w:tcPr>
            <w:tcW w:w="827" w:type="dxa"/>
            <w:tcBorders>
              <w:top w:val="nil"/>
              <w:left w:val="single" w:sz="4" w:space="0" w:color="auto"/>
              <w:bottom w:val="single" w:sz="4" w:space="0" w:color="auto"/>
              <w:right w:val="single" w:sz="4" w:space="0" w:color="auto"/>
            </w:tcBorders>
            <w:shd w:val="clear" w:color="auto" w:fill="auto"/>
            <w:noWrap/>
          </w:tcPr>
          <w:p w14:paraId="6944C624" w14:textId="2EB9C06A" w:rsidR="0096401D" w:rsidRPr="00F54AE6" w:rsidRDefault="0096401D" w:rsidP="00F54AE6">
            <w:pPr>
              <w:spacing w:after="0" w:line="240" w:lineRule="auto"/>
              <w:rPr>
                <w:rFonts w:eastAsia="Times New Roman" w:cs="Times New Roman"/>
                <w:color w:val="000000"/>
                <w:sz w:val="20"/>
                <w:szCs w:val="20"/>
              </w:rPr>
            </w:pPr>
            <w:r>
              <w:rPr>
                <w:rFonts w:eastAsia="Times New Roman" w:cs="Times New Roman"/>
                <w:color w:val="000000"/>
                <w:sz w:val="20"/>
                <w:szCs w:val="20"/>
              </w:rPr>
              <w:t>Data</w:t>
            </w:r>
          </w:p>
        </w:tc>
        <w:tc>
          <w:tcPr>
            <w:tcW w:w="4768" w:type="dxa"/>
            <w:tcBorders>
              <w:top w:val="nil"/>
              <w:left w:val="nil"/>
              <w:bottom w:val="single" w:sz="4" w:space="0" w:color="auto"/>
              <w:right w:val="single" w:sz="4" w:space="0" w:color="auto"/>
            </w:tcBorders>
            <w:shd w:val="clear" w:color="auto" w:fill="auto"/>
          </w:tcPr>
          <w:p w14:paraId="0E72432D" w14:textId="314AFC48" w:rsidR="0096401D" w:rsidRPr="00F54AE6" w:rsidRDefault="0096401D" w:rsidP="00F54AE6">
            <w:pPr>
              <w:spacing w:after="0" w:line="240" w:lineRule="auto"/>
              <w:rPr>
                <w:rFonts w:eastAsia="Times New Roman" w:cs="Times New Roman"/>
                <w:color w:val="000000"/>
                <w:sz w:val="20"/>
                <w:szCs w:val="20"/>
              </w:rPr>
            </w:pPr>
            <w:r w:rsidRPr="0096401D">
              <w:rPr>
                <w:rFonts w:eastAsia="Times New Roman" w:cs="Times New Roman"/>
                <w:color w:val="000000"/>
                <w:sz w:val="20"/>
                <w:szCs w:val="20"/>
              </w:rPr>
              <w:t>Soil property maps of Africa at 1 km resolution</w:t>
            </w:r>
          </w:p>
        </w:tc>
        <w:tc>
          <w:tcPr>
            <w:tcW w:w="3690" w:type="dxa"/>
            <w:tcBorders>
              <w:top w:val="nil"/>
              <w:left w:val="nil"/>
              <w:bottom w:val="single" w:sz="4" w:space="0" w:color="auto"/>
              <w:right w:val="single" w:sz="4" w:space="0" w:color="auto"/>
            </w:tcBorders>
            <w:shd w:val="clear" w:color="auto" w:fill="auto"/>
          </w:tcPr>
          <w:p w14:paraId="5087BEA2" w14:textId="1FD74754" w:rsidR="0096401D" w:rsidRPr="00F54AE6" w:rsidRDefault="0096401D" w:rsidP="00F54AE6">
            <w:pPr>
              <w:spacing w:after="0" w:line="240" w:lineRule="auto"/>
              <w:rPr>
                <w:rFonts w:eastAsia="Times New Roman" w:cs="Times New Roman"/>
                <w:color w:val="000000"/>
                <w:sz w:val="20"/>
                <w:szCs w:val="20"/>
              </w:rPr>
            </w:pPr>
            <w:r w:rsidRPr="0096401D">
              <w:rPr>
                <w:rFonts w:eastAsia="Times New Roman" w:cs="Times New Roman"/>
                <w:color w:val="000000"/>
                <w:sz w:val="20"/>
                <w:szCs w:val="20"/>
              </w:rPr>
              <w:t>Africa Soil Information Service (AfSIS)/ ISRIC World Soil Information/ World Agroforestry Centre (ICRAF)</w:t>
            </w:r>
          </w:p>
        </w:tc>
      </w:tr>
      <w:tr w:rsidR="0013250F" w:rsidRPr="009E06B2" w14:paraId="7C7AE504" w14:textId="77777777" w:rsidTr="00F54AE6">
        <w:trPr>
          <w:trHeight w:val="530"/>
        </w:trPr>
        <w:tc>
          <w:tcPr>
            <w:tcW w:w="827" w:type="dxa"/>
            <w:tcBorders>
              <w:top w:val="nil"/>
              <w:left w:val="single" w:sz="4" w:space="0" w:color="auto"/>
              <w:bottom w:val="single" w:sz="4" w:space="0" w:color="auto"/>
              <w:right w:val="single" w:sz="4" w:space="0" w:color="auto"/>
            </w:tcBorders>
            <w:shd w:val="clear" w:color="auto" w:fill="auto"/>
            <w:noWrap/>
            <w:hideMark/>
          </w:tcPr>
          <w:p w14:paraId="427AE97D"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Data</w:t>
            </w:r>
          </w:p>
        </w:tc>
        <w:tc>
          <w:tcPr>
            <w:tcW w:w="4768" w:type="dxa"/>
            <w:tcBorders>
              <w:top w:val="nil"/>
              <w:left w:val="nil"/>
              <w:bottom w:val="single" w:sz="4" w:space="0" w:color="auto"/>
              <w:right w:val="single" w:sz="4" w:space="0" w:color="auto"/>
            </w:tcBorders>
            <w:shd w:val="clear" w:color="auto" w:fill="auto"/>
            <w:hideMark/>
          </w:tcPr>
          <w:p w14:paraId="005C43EB" w14:textId="77777777" w:rsidR="0013250F" w:rsidRPr="00D944F7" w:rsidRDefault="0013250F" w:rsidP="00F54AE6">
            <w:pPr>
              <w:spacing w:after="0" w:line="240" w:lineRule="auto"/>
              <w:rPr>
                <w:color w:val="000000"/>
                <w:sz w:val="20"/>
                <w:lang w:val="fr-FR"/>
              </w:rPr>
            </w:pPr>
            <w:r w:rsidRPr="00D944F7">
              <w:rPr>
                <w:color w:val="000000"/>
                <w:sz w:val="20"/>
                <w:lang w:val="fr-FR"/>
              </w:rPr>
              <w:t>UN Information Portal on Multilateral Environmental Agreements (InforMEA)</w:t>
            </w:r>
          </w:p>
        </w:tc>
        <w:tc>
          <w:tcPr>
            <w:tcW w:w="3690" w:type="dxa"/>
            <w:tcBorders>
              <w:top w:val="nil"/>
              <w:left w:val="nil"/>
              <w:bottom w:val="single" w:sz="4" w:space="0" w:color="auto"/>
              <w:right w:val="single" w:sz="4" w:space="0" w:color="auto"/>
            </w:tcBorders>
            <w:shd w:val="clear" w:color="auto" w:fill="auto"/>
            <w:hideMark/>
          </w:tcPr>
          <w:p w14:paraId="6EA64A3C"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UNEP</w:t>
            </w:r>
          </w:p>
        </w:tc>
      </w:tr>
      <w:tr w:rsidR="0013250F" w:rsidRPr="009E06B2" w14:paraId="54601D3E" w14:textId="77777777" w:rsidTr="00F54AE6">
        <w:trPr>
          <w:trHeight w:val="260"/>
        </w:trPr>
        <w:tc>
          <w:tcPr>
            <w:tcW w:w="827" w:type="dxa"/>
            <w:tcBorders>
              <w:top w:val="nil"/>
              <w:left w:val="single" w:sz="4" w:space="0" w:color="auto"/>
              <w:bottom w:val="single" w:sz="4" w:space="0" w:color="auto"/>
              <w:right w:val="single" w:sz="4" w:space="0" w:color="auto"/>
            </w:tcBorders>
            <w:shd w:val="clear" w:color="auto" w:fill="auto"/>
            <w:noWrap/>
          </w:tcPr>
          <w:p w14:paraId="11B0D765"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Data</w:t>
            </w:r>
          </w:p>
        </w:tc>
        <w:tc>
          <w:tcPr>
            <w:tcW w:w="4768" w:type="dxa"/>
            <w:tcBorders>
              <w:top w:val="nil"/>
              <w:left w:val="nil"/>
              <w:bottom w:val="single" w:sz="4" w:space="0" w:color="auto"/>
              <w:right w:val="single" w:sz="4" w:space="0" w:color="auto"/>
            </w:tcBorders>
            <w:shd w:val="clear" w:color="auto" w:fill="auto"/>
          </w:tcPr>
          <w:p w14:paraId="48440ACB"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Data Access Centre for Ozone Depleting Substances</w:t>
            </w:r>
          </w:p>
        </w:tc>
        <w:tc>
          <w:tcPr>
            <w:tcW w:w="3690" w:type="dxa"/>
            <w:tcBorders>
              <w:top w:val="nil"/>
              <w:left w:val="nil"/>
              <w:bottom w:val="single" w:sz="4" w:space="0" w:color="auto"/>
              <w:right w:val="single" w:sz="4" w:space="0" w:color="auto"/>
            </w:tcBorders>
            <w:shd w:val="clear" w:color="auto" w:fill="auto"/>
          </w:tcPr>
          <w:p w14:paraId="755EE410"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UNEP Ozone Secretariat</w:t>
            </w:r>
          </w:p>
        </w:tc>
      </w:tr>
      <w:tr w:rsidR="0013250F" w:rsidRPr="009E06B2" w14:paraId="6EC48A78" w14:textId="77777777" w:rsidTr="00F54AE6">
        <w:trPr>
          <w:trHeight w:val="170"/>
        </w:trPr>
        <w:tc>
          <w:tcPr>
            <w:tcW w:w="827" w:type="dxa"/>
            <w:tcBorders>
              <w:top w:val="nil"/>
              <w:left w:val="single" w:sz="4" w:space="0" w:color="auto"/>
              <w:bottom w:val="single" w:sz="4" w:space="0" w:color="auto"/>
              <w:right w:val="single" w:sz="4" w:space="0" w:color="auto"/>
            </w:tcBorders>
            <w:shd w:val="clear" w:color="auto" w:fill="auto"/>
            <w:noWrap/>
            <w:hideMark/>
          </w:tcPr>
          <w:p w14:paraId="064EAEDD"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Data</w:t>
            </w:r>
          </w:p>
        </w:tc>
        <w:tc>
          <w:tcPr>
            <w:tcW w:w="4768" w:type="dxa"/>
            <w:tcBorders>
              <w:top w:val="nil"/>
              <w:left w:val="nil"/>
              <w:bottom w:val="single" w:sz="4" w:space="0" w:color="auto"/>
              <w:right w:val="single" w:sz="4" w:space="0" w:color="auto"/>
            </w:tcBorders>
            <w:shd w:val="clear" w:color="auto" w:fill="auto"/>
            <w:hideMark/>
          </w:tcPr>
          <w:p w14:paraId="139717E0"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UNEP Environmental Data Explorer</w:t>
            </w:r>
          </w:p>
        </w:tc>
        <w:tc>
          <w:tcPr>
            <w:tcW w:w="3690" w:type="dxa"/>
            <w:tcBorders>
              <w:top w:val="nil"/>
              <w:left w:val="nil"/>
              <w:bottom w:val="single" w:sz="4" w:space="0" w:color="auto"/>
              <w:right w:val="single" w:sz="4" w:space="0" w:color="auto"/>
            </w:tcBorders>
            <w:shd w:val="clear" w:color="auto" w:fill="auto"/>
            <w:hideMark/>
          </w:tcPr>
          <w:p w14:paraId="267B99B5"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UNEP</w:t>
            </w:r>
          </w:p>
        </w:tc>
      </w:tr>
      <w:tr w:rsidR="0013250F" w:rsidRPr="009E06B2" w14:paraId="04E40564" w14:textId="77777777" w:rsidTr="00F54AE6">
        <w:trPr>
          <w:trHeight w:val="458"/>
        </w:trPr>
        <w:tc>
          <w:tcPr>
            <w:tcW w:w="827" w:type="dxa"/>
            <w:tcBorders>
              <w:top w:val="nil"/>
              <w:left w:val="single" w:sz="4" w:space="0" w:color="auto"/>
              <w:bottom w:val="single" w:sz="4" w:space="0" w:color="auto"/>
              <w:right w:val="single" w:sz="4" w:space="0" w:color="auto"/>
            </w:tcBorders>
            <w:shd w:val="clear" w:color="auto" w:fill="auto"/>
            <w:noWrap/>
            <w:hideMark/>
          </w:tcPr>
          <w:p w14:paraId="05011602"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Data</w:t>
            </w:r>
          </w:p>
        </w:tc>
        <w:tc>
          <w:tcPr>
            <w:tcW w:w="4768" w:type="dxa"/>
            <w:tcBorders>
              <w:top w:val="nil"/>
              <w:left w:val="nil"/>
              <w:bottom w:val="single" w:sz="4" w:space="0" w:color="auto"/>
              <w:right w:val="single" w:sz="4" w:space="0" w:color="auto"/>
            </w:tcBorders>
            <w:shd w:val="clear" w:color="auto" w:fill="auto"/>
            <w:hideMark/>
          </w:tcPr>
          <w:p w14:paraId="15B5FA4F"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World Bank World Development Indicators - Agriculture and Rural Development</w:t>
            </w:r>
          </w:p>
        </w:tc>
        <w:tc>
          <w:tcPr>
            <w:tcW w:w="3690" w:type="dxa"/>
            <w:tcBorders>
              <w:top w:val="nil"/>
              <w:left w:val="nil"/>
              <w:bottom w:val="single" w:sz="4" w:space="0" w:color="auto"/>
              <w:right w:val="single" w:sz="4" w:space="0" w:color="auto"/>
            </w:tcBorders>
            <w:shd w:val="clear" w:color="auto" w:fill="auto"/>
            <w:hideMark/>
          </w:tcPr>
          <w:p w14:paraId="0150694B" w14:textId="77777777" w:rsidR="0013250F" w:rsidRPr="00F54AE6" w:rsidRDefault="0013250F" w:rsidP="00F54AE6">
            <w:pPr>
              <w:spacing w:after="0" w:line="240" w:lineRule="auto"/>
              <w:rPr>
                <w:rFonts w:eastAsia="Times New Roman" w:cs="Times New Roman"/>
                <w:color w:val="000000"/>
                <w:sz w:val="20"/>
                <w:szCs w:val="20"/>
              </w:rPr>
            </w:pPr>
            <w:r w:rsidRPr="00F54AE6">
              <w:rPr>
                <w:rFonts w:eastAsia="Times New Roman" w:cs="Times New Roman"/>
                <w:color w:val="000000"/>
                <w:sz w:val="20"/>
                <w:szCs w:val="20"/>
              </w:rPr>
              <w:t>World Bank</w:t>
            </w:r>
          </w:p>
        </w:tc>
      </w:tr>
    </w:tbl>
    <w:p w14:paraId="492A0172" w14:textId="11704D4E" w:rsidR="00C55D59" w:rsidRDefault="00F558DC" w:rsidP="00AD26AB">
      <w:pPr>
        <w:keepNext/>
        <w:spacing w:after="0" w:line="240" w:lineRule="auto"/>
        <w:rPr>
          <w:b/>
        </w:rPr>
      </w:pPr>
      <w:r>
        <w:rPr>
          <w:b/>
        </w:rPr>
        <w:lastRenderedPageBreak/>
        <w:t>Table 3</w:t>
      </w:r>
      <w:r w:rsidR="00C70E64" w:rsidRPr="00C55D59">
        <w:rPr>
          <w:b/>
        </w:rPr>
        <w:t xml:space="preserve">. </w:t>
      </w:r>
      <w:r w:rsidR="00AD26AB" w:rsidRPr="00C55D59">
        <w:rPr>
          <w:b/>
        </w:rPr>
        <w:t xml:space="preserve">Most common indicator themes </w:t>
      </w:r>
      <w:r w:rsidR="00C55D59" w:rsidRPr="00C55D59">
        <w:rPr>
          <w:b/>
        </w:rPr>
        <w:t>among</w:t>
      </w:r>
      <w:r w:rsidR="00AD26AB" w:rsidRPr="00C55D59">
        <w:rPr>
          <w:b/>
        </w:rPr>
        <w:t xml:space="preserve"> existing </w:t>
      </w:r>
      <w:r w:rsidR="00C55D59" w:rsidRPr="00C55D59">
        <w:rPr>
          <w:b/>
        </w:rPr>
        <w:t>indices, reports, and datasets</w:t>
      </w:r>
      <w:r w:rsidR="00C55D59">
        <w:rPr>
          <w:b/>
        </w:rPr>
        <w:t xml:space="preserve"> reviewed</w:t>
      </w:r>
    </w:p>
    <w:p w14:paraId="6B863FBD" w14:textId="77777777" w:rsidR="00F54AE6" w:rsidRPr="00C55D59" w:rsidRDefault="00F54AE6" w:rsidP="00AD26AB">
      <w:pPr>
        <w:keepNext/>
        <w:spacing w:after="0" w:line="240" w:lineRule="auto"/>
        <w:rPr>
          <w:b/>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620"/>
        <w:gridCol w:w="4950"/>
      </w:tblGrid>
      <w:tr w:rsidR="00C55D59" w:rsidRPr="00144D7F" w14:paraId="6FC1C82A" w14:textId="77777777" w:rsidTr="002C2833">
        <w:trPr>
          <w:trHeight w:val="350"/>
        </w:trPr>
        <w:tc>
          <w:tcPr>
            <w:tcW w:w="2895" w:type="dxa"/>
            <w:shd w:val="clear" w:color="auto" w:fill="auto"/>
            <w:noWrap/>
            <w:hideMark/>
          </w:tcPr>
          <w:p w14:paraId="184820E3" w14:textId="77777777" w:rsidR="00C55D59" w:rsidRPr="00F54AE6" w:rsidRDefault="00C55D59" w:rsidP="002C2833">
            <w:pPr>
              <w:keepNext/>
              <w:spacing w:after="0" w:line="240" w:lineRule="auto"/>
              <w:rPr>
                <w:rFonts w:ascii="Calibri" w:eastAsia="Times New Roman" w:hAnsi="Calibri" w:cs="Times New Roman"/>
                <w:b/>
                <w:bCs/>
                <w:color w:val="000099"/>
                <w:sz w:val="20"/>
                <w:szCs w:val="20"/>
              </w:rPr>
            </w:pPr>
          </w:p>
          <w:p w14:paraId="2222553F" w14:textId="77777777" w:rsidR="00C55D59" w:rsidRPr="00F54AE6" w:rsidRDefault="00C55D59" w:rsidP="002C2833">
            <w:pPr>
              <w:keepNext/>
              <w:spacing w:after="0" w:line="240" w:lineRule="auto"/>
              <w:rPr>
                <w:rFonts w:ascii="Calibri" w:eastAsia="Times New Roman" w:hAnsi="Calibri" w:cs="Times New Roman"/>
                <w:b/>
                <w:bCs/>
                <w:color w:val="000099"/>
                <w:sz w:val="20"/>
                <w:szCs w:val="20"/>
              </w:rPr>
            </w:pPr>
            <w:r w:rsidRPr="00F54AE6">
              <w:rPr>
                <w:rFonts w:ascii="Calibri" w:eastAsia="Times New Roman" w:hAnsi="Calibri" w:cs="Times New Roman"/>
                <w:b/>
                <w:bCs/>
                <w:color w:val="000099"/>
                <w:sz w:val="20"/>
                <w:szCs w:val="20"/>
              </w:rPr>
              <w:t>Indicator theme</w:t>
            </w:r>
          </w:p>
        </w:tc>
        <w:tc>
          <w:tcPr>
            <w:tcW w:w="1620" w:type="dxa"/>
          </w:tcPr>
          <w:p w14:paraId="1A2D0EE2" w14:textId="77777777" w:rsidR="00C55D59" w:rsidRPr="00F54AE6" w:rsidRDefault="00C55D59" w:rsidP="002C2833">
            <w:pPr>
              <w:keepNext/>
              <w:spacing w:after="0" w:line="240" w:lineRule="auto"/>
              <w:jc w:val="center"/>
              <w:rPr>
                <w:rFonts w:ascii="Calibri" w:eastAsia="Times New Roman" w:hAnsi="Calibri" w:cs="Times New Roman"/>
                <w:b/>
                <w:bCs/>
                <w:color w:val="000099"/>
                <w:sz w:val="20"/>
                <w:szCs w:val="20"/>
              </w:rPr>
            </w:pPr>
            <w:r w:rsidRPr="00F54AE6">
              <w:rPr>
                <w:rFonts w:ascii="Calibri" w:eastAsia="Times New Roman" w:hAnsi="Calibri" w:cs="Times New Roman"/>
                <w:b/>
                <w:bCs/>
                <w:color w:val="000099"/>
                <w:sz w:val="20"/>
                <w:szCs w:val="20"/>
              </w:rPr>
              <w:t xml:space="preserve">Number of </w:t>
            </w:r>
            <w:r w:rsidR="00FF0CF7" w:rsidRPr="00F54AE6">
              <w:rPr>
                <w:rFonts w:ascii="Calibri" w:eastAsia="Times New Roman" w:hAnsi="Calibri" w:cs="Times New Roman"/>
                <w:b/>
                <w:bCs/>
                <w:color w:val="000099"/>
                <w:sz w:val="20"/>
                <w:szCs w:val="20"/>
              </w:rPr>
              <w:t>occurrences</w:t>
            </w:r>
          </w:p>
        </w:tc>
        <w:tc>
          <w:tcPr>
            <w:tcW w:w="4950" w:type="dxa"/>
          </w:tcPr>
          <w:p w14:paraId="4DA0A208" w14:textId="77777777" w:rsidR="00C55D59" w:rsidRPr="00F54AE6" w:rsidRDefault="00C55D59" w:rsidP="002C2833">
            <w:pPr>
              <w:keepNext/>
              <w:spacing w:after="0" w:line="240" w:lineRule="auto"/>
              <w:rPr>
                <w:rFonts w:ascii="Calibri" w:eastAsia="Times New Roman" w:hAnsi="Calibri" w:cs="Times New Roman"/>
                <w:b/>
                <w:bCs/>
                <w:color w:val="000099"/>
                <w:sz w:val="20"/>
                <w:szCs w:val="20"/>
              </w:rPr>
            </w:pPr>
          </w:p>
          <w:p w14:paraId="2674F402" w14:textId="77777777" w:rsidR="00C55D59" w:rsidRPr="00F54AE6" w:rsidRDefault="00C55D59" w:rsidP="002C2833">
            <w:pPr>
              <w:keepNext/>
              <w:spacing w:after="0" w:line="240" w:lineRule="auto"/>
              <w:rPr>
                <w:rFonts w:ascii="Calibri" w:eastAsia="Times New Roman" w:hAnsi="Calibri" w:cs="Times New Roman"/>
                <w:b/>
                <w:bCs/>
                <w:color w:val="000099"/>
                <w:sz w:val="20"/>
                <w:szCs w:val="20"/>
              </w:rPr>
            </w:pPr>
            <w:r w:rsidRPr="00F54AE6">
              <w:rPr>
                <w:rFonts w:ascii="Calibri" w:eastAsia="Times New Roman" w:hAnsi="Calibri" w:cs="Times New Roman"/>
                <w:b/>
                <w:bCs/>
                <w:color w:val="000099"/>
                <w:sz w:val="20"/>
                <w:szCs w:val="20"/>
              </w:rPr>
              <w:t>Indicator (example)</w:t>
            </w:r>
          </w:p>
        </w:tc>
      </w:tr>
      <w:tr w:rsidR="00C55D59" w:rsidRPr="00144D7F" w14:paraId="3492FA24" w14:textId="77777777" w:rsidTr="00D02D03">
        <w:trPr>
          <w:trHeight w:val="300"/>
        </w:trPr>
        <w:tc>
          <w:tcPr>
            <w:tcW w:w="2895" w:type="dxa"/>
            <w:shd w:val="clear" w:color="auto" w:fill="auto"/>
            <w:noWrap/>
            <w:hideMark/>
          </w:tcPr>
          <w:p w14:paraId="7828F27C" w14:textId="77777777" w:rsidR="00C55D59" w:rsidRPr="00F54AE6" w:rsidRDefault="00C55D59"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Water use</w:t>
            </w:r>
          </w:p>
        </w:tc>
        <w:tc>
          <w:tcPr>
            <w:tcW w:w="1620" w:type="dxa"/>
          </w:tcPr>
          <w:p w14:paraId="55EB6938" w14:textId="77777777" w:rsidR="00C55D59" w:rsidRPr="00F54AE6" w:rsidRDefault="004E4160"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3</w:t>
            </w:r>
            <w:r w:rsidR="00C55D59" w:rsidRPr="00F54AE6">
              <w:rPr>
                <w:rFonts w:ascii="Calibri" w:eastAsia="Times New Roman" w:hAnsi="Calibri" w:cs="Times New Roman"/>
                <w:color w:val="000000"/>
                <w:sz w:val="20"/>
                <w:szCs w:val="20"/>
              </w:rPr>
              <w:t>5</w:t>
            </w:r>
          </w:p>
        </w:tc>
        <w:tc>
          <w:tcPr>
            <w:tcW w:w="4950" w:type="dxa"/>
          </w:tcPr>
          <w:p w14:paraId="43307205" w14:textId="77777777" w:rsidR="00C55D59" w:rsidRPr="00F54AE6" w:rsidRDefault="00C55D59"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Total water use for agriculture production</w:t>
            </w:r>
          </w:p>
        </w:tc>
      </w:tr>
      <w:tr w:rsidR="00C55D59" w:rsidRPr="00144D7F" w14:paraId="72080B10" w14:textId="77777777" w:rsidTr="00D02D03">
        <w:trPr>
          <w:trHeight w:val="300"/>
        </w:trPr>
        <w:tc>
          <w:tcPr>
            <w:tcW w:w="2895" w:type="dxa"/>
            <w:shd w:val="clear" w:color="auto" w:fill="auto"/>
            <w:noWrap/>
            <w:hideMark/>
          </w:tcPr>
          <w:p w14:paraId="05930622" w14:textId="77777777" w:rsidR="00C55D59" w:rsidRPr="00F54AE6" w:rsidRDefault="00C55D59"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Agricultural policy related to government support</w:t>
            </w:r>
          </w:p>
        </w:tc>
        <w:tc>
          <w:tcPr>
            <w:tcW w:w="1620" w:type="dxa"/>
          </w:tcPr>
          <w:p w14:paraId="745EEBAA" w14:textId="77777777" w:rsidR="00C55D59" w:rsidRPr="00F54AE6" w:rsidRDefault="004E4160"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18</w:t>
            </w:r>
          </w:p>
        </w:tc>
        <w:tc>
          <w:tcPr>
            <w:tcW w:w="4950" w:type="dxa"/>
          </w:tcPr>
          <w:p w14:paraId="7883C420" w14:textId="77777777" w:rsidR="00C55D59" w:rsidRPr="00F54AE6" w:rsidRDefault="00C55D59"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Agricultural subsidies</w:t>
            </w:r>
          </w:p>
        </w:tc>
      </w:tr>
      <w:tr w:rsidR="00C55D59" w:rsidRPr="00144D7F" w14:paraId="091B6239" w14:textId="77777777" w:rsidTr="00D02D03">
        <w:trPr>
          <w:trHeight w:val="300"/>
        </w:trPr>
        <w:tc>
          <w:tcPr>
            <w:tcW w:w="2895" w:type="dxa"/>
            <w:shd w:val="clear" w:color="auto" w:fill="auto"/>
            <w:noWrap/>
            <w:hideMark/>
          </w:tcPr>
          <w:p w14:paraId="399D665D" w14:textId="77777777" w:rsidR="00C55D59" w:rsidRPr="00F54AE6" w:rsidRDefault="00C55D59" w:rsidP="00C55D59">
            <w:pPr>
              <w:spacing w:after="0" w:line="240" w:lineRule="auto"/>
              <w:ind w:right="-593"/>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Climate change</w:t>
            </w:r>
          </w:p>
        </w:tc>
        <w:tc>
          <w:tcPr>
            <w:tcW w:w="1620" w:type="dxa"/>
          </w:tcPr>
          <w:p w14:paraId="666CD9DF" w14:textId="77777777" w:rsidR="00C55D59" w:rsidRPr="00F54AE6" w:rsidRDefault="00C55D59"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13</w:t>
            </w:r>
          </w:p>
        </w:tc>
        <w:tc>
          <w:tcPr>
            <w:tcW w:w="4950" w:type="dxa"/>
          </w:tcPr>
          <w:p w14:paraId="78EF22EA" w14:textId="77777777" w:rsidR="00C55D59" w:rsidRPr="00F54AE6" w:rsidRDefault="00C55D59"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Greenhouse gas emissions from agricultural sources</w:t>
            </w:r>
          </w:p>
        </w:tc>
      </w:tr>
      <w:tr w:rsidR="004E4160" w:rsidRPr="00144D7F" w14:paraId="1180EBB6" w14:textId="77777777" w:rsidTr="00D02D03">
        <w:trPr>
          <w:trHeight w:val="300"/>
        </w:trPr>
        <w:tc>
          <w:tcPr>
            <w:tcW w:w="2895" w:type="dxa"/>
            <w:shd w:val="clear" w:color="auto" w:fill="auto"/>
            <w:noWrap/>
          </w:tcPr>
          <w:p w14:paraId="7A93D7E1" w14:textId="77777777" w:rsidR="004E4160" w:rsidRPr="00F54AE6" w:rsidRDefault="004E4160" w:rsidP="0075538B">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Agricultural production</w:t>
            </w:r>
          </w:p>
        </w:tc>
        <w:tc>
          <w:tcPr>
            <w:tcW w:w="1620" w:type="dxa"/>
          </w:tcPr>
          <w:p w14:paraId="14CDD544" w14:textId="77777777" w:rsidR="004E4160" w:rsidRPr="00F54AE6" w:rsidRDefault="004E4160" w:rsidP="0075538B">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11</w:t>
            </w:r>
          </w:p>
        </w:tc>
        <w:tc>
          <w:tcPr>
            <w:tcW w:w="4950" w:type="dxa"/>
          </w:tcPr>
          <w:p w14:paraId="377B5537" w14:textId="77777777" w:rsidR="004E4160" w:rsidRPr="00F54AE6" w:rsidRDefault="004E4160" w:rsidP="0075538B">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Crop yield</w:t>
            </w:r>
          </w:p>
        </w:tc>
      </w:tr>
      <w:tr w:rsidR="004E4160" w:rsidRPr="00144D7F" w14:paraId="7A08B691" w14:textId="77777777" w:rsidTr="00D02D03">
        <w:trPr>
          <w:trHeight w:val="300"/>
        </w:trPr>
        <w:tc>
          <w:tcPr>
            <w:tcW w:w="2895" w:type="dxa"/>
            <w:shd w:val="clear" w:color="auto" w:fill="auto"/>
            <w:noWrap/>
            <w:hideMark/>
          </w:tcPr>
          <w:p w14:paraId="19DF5898"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 xml:space="preserve">Agricultural inputs </w:t>
            </w:r>
          </w:p>
        </w:tc>
        <w:tc>
          <w:tcPr>
            <w:tcW w:w="1620" w:type="dxa"/>
          </w:tcPr>
          <w:p w14:paraId="285690E4" w14:textId="77777777" w:rsidR="004E4160" w:rsidRPr="00F54AE6" w:rsidRDefault="004E4160"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10</w:t>
            </w:r>
          </w:p>
        </w:tc>
        <w:tc>
          <w:tcPr>
            <w:tcW w:w="4950" w:type="dxa"/>
          </w:tcPr>
          <w:p w14:paraId="1C015438"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Fertilizer use</w:t>
            </w:r>
          </w:p>
        </w:tc>
      </w:tr>
      <w:tr w:rsidR="004E4160" w:rsidRPr="00144D7F" w14:paraId="77DFC3C3" w14:textId="77777777" w:rsidTr="00D02D03">
        <w:trPr>
          <w:trHeight w:val="300"/>
        </w:trPr>
        <w:tc>
          <w:tcPr>
            <w:tcW w:w="2895" w:type="dxa"/>
            <w:shd w:val="clear" w:color="auto" w:fill="auto"/>
            <w:noWrap/>
            <w:hideMark/>
          </w:tcPr>
          <w:p w14:paraId="3B50CACB"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Land use</w:t>
            </w:r>
          </w:p>
        </w:tc>
        <w:tc>
          <w:tcPr>
            <w:tcW w:w="1620" w:type="dxa"/>
          </w:tcPr>
          <w:p w14:paraId="258099CD" w14:textId="77777777" w:rsidR="004E4160" w:rsidRPr="00F54AE6" w:rsidRDefault="004E4160"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10</w:t>
            </w:r>
          </w:p>
        </w:tc>
        <w:tc>
          <w:tcPr>
            <w:tcW w:w="4950" w:type="dxa"/>
          </w:tcPr>
          <w:p w14:paraId="51990EF6"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Area of agricultural land</w:t>
            </w:r>
          </w:p>
        </w:tc>
      </w:tr>
      <w:tr w:rsidR="004E4160" w:rsidRPr="00144D7F" w14:paraId="7F912978" w14:textId="77777777" w:rsidTr="00D02D03">
        <w:trPr>
          <w:trHeight w:val="300"/>
        </w:trPr>
        <w:tc>
          <w:tcPr>
            <w:tcW w:w="2895" w:type="dxa"/>
            <w:shd w:val="clear" w:color="auto" w:fill="auto"/>
            <w:noWrap/>
            <w:hideMark/>
          </w:tcPr>
          <w:p w14:paraId="5E660C38"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Environmental policy</w:t>
            </w:r>
          </w:p>
        </w:tc>
        <w:tc>
          <w:tcPr>
            <w:tcW w:w="1620" w:type="dxa"/>
          </w:tcPr>
          <w:p w14:paraId="0BEFAE44" w14:textId="77777777" w:rsidR="004E4160" w:rsidRPr="00F54AE6" w:rsidRDefault="004E4160"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10</w:t>
            </w:r>
          </w:p>
        </w:tc>
        <w:tc>
          <w:tcPr>
            <w:tcW w:w="4950" w:type="dxa"/>
          </w:tcPr>
          <w:p w14:paraId="04FD2C17"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Participation in UNFCCC treaties</w:t>
            </w:r>
          </w:p>
        </w:tc>
      </w:tr>
      <w:tr w:rsidR="004E4160" w:rsidRPr="00144D7F" w14:paraId="6BA6502C" w14:textId="77777777" w:rsidTr="00D02D03">
        <w:trPr>
          <w:trHeight w:val="300"/>
        </w:trPr>
        <w:tc>
          <w:tcPr>
            <w:tcW w:w="2895" w:type="dxa"/>
            <w:shd w:val="clear" w:color="auto" w:fill="auto"/>
            <w:noWrap/>
            <w:hideMark/>
          </w:tcPr>
          <w:p w14:paraId="7EF0ECDB"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Environmental degradation</w:t>
            </w:r>
          </w:p>
        </w:tc>
        <w:tc>
          <w:tcPr>
            <w:tcW w:w="1620" w:type="dxa"/>
          </w:tcPr>
          <w:p w14:paraId="7BBB8EF5" w14:textId="77777777" w:rsidR="004E4160" w:rsidRPr="00F54AE6" w:rsidRDefault="004E4160"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7</w:t>
            </w:r>
          </w:p>
        </w:tc>
        <w:tc>
          <w:tcPr>
            <w:tcW w:w="4950" w:type="dxa"/>
          </w:tcPr>
          <w:p w14:paraId="65684184"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Area of degraded/barren lands</w:t>
            </w:r>
          </w:p>
        </w:tc>
      </w:tr>
      <w:tr w:rsidR="004E4160" w:rsidRPr="00144D7F" w14:paraId="2EF46D09" w14:textId="77777777" w:rsidTr="00D02D03">
        <w:trPr>
          <w:trHeight w:val="300"/>
        </w:trPr>
        <w:tc>
          <w:tcPr>
            <w:tcW w:w="2895" w:type="dxa"/>
            <w:shd w:val="clear" w:color="auto" w:fill="auto"/>
            <w:noWrap/>
            <w:hideMark/>
          </w:tcPr>
          <w:p w14:paraId="665EA56A"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Ecosystem biodiversity</w:t>
            </w:r>
          </w:p>
        </w:tc>
        <w:tc>
          <w:tcPr>
            <w:tcW w:w="1620" w:type="dxa"/>
          </w:tcPr>
          <w:p w14:paraId="57FCAFE5" w14:textId="77777777" w:rsidR="004E4160" w:rsidRPr="00F54AE6" w:rsidRDefault="004E4160"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6</w:t>
            </w:r>
          </w:p>
        </w:tc>
        <w:tc>
          <w:tcPr>
            <w:tcW w:w="4950" w:type="dxa"/>
          </w:tcPr>
          <w:p w14:paraId="13F4BC9C"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Wild species in agricultural lands</w:t>
            </w:r>
          </w:p>
        </w:tc>
      </w:tr>
      <w:tr w:rsidR="004E4160" w:rsidRPr="00144D7F" w14:paraId="6459AB0F" w14:textId="77777777" w:rsidTr="00D02D03">
        <w:trPr>
          <w:trHeight w:val="300"/>
        </w:trPr>
        <w:tc>
          <w:tcPr>
            <w:tcW w:w="2895" w:type="dxa"/>
            <w:shd w:val="clear" w:color="auto" w:fill="auto"/>
            <w:noWrap/>
            <w:hideMark/>
          </w:tcPr>
          <w:p w14:paraId="7207CD3B"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Water quality</w:t>
            </w:r>
          </w:p>
        </w:tc>
        <w:tc>
          <w:tcPr>
            <w:tcW w:w="1620" w:type="dxa"/>
          </w:tcPr>
          <w:p w14:paraId="30593DE8" w14:textId="77777777" w:rsidR="004E4160" w:rsidRPr="00F54AE6" w:rsidRDefault="004E4160"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6</w:t>
            </w:r>
          </w:p>
        </w:tc>
        <w:tc>
          <w:tcPr>
            <w:tcW w:w="4950" w:type="dxa"/>
          </w:tcPr>
          <w:p w14:paraId="6AA8AF4A"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Number of dead (hypoxic) zones</w:t>
            </w:r>
          </w:p>
        </w:tc>
      </w:tr>
      <w:tr w:rsidR="004E4160" w:rsidRPr="00144D7F" w14:paraId="54E1F474" w14:textId="77777777" w:rsidTr="00D02D03">
        <w:trPr>
          <w:trHeight w:val="350"/>
        </w:trPr>
        <w:tc>
          <w:tcPr>
            <w:tcW w:w="2895" w:type="dxa"/>
            <w:shd w:val="clear" w:color="auto" w:fill="auto"/>
            <w:noWrap/>
            <w:hideMark/>
          </w:tcPr>
          <w:p w14:paraId="5F043DFB"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Agricultural Research &amp; Development</w:t>
            </w:r>
          </w:p>
        </w:tc>
        <w:tc>
          <w:tcPr>
            <w:tcW w:w="1620" w:type="dxa"/>
          </w:tcPr>
          <w:p w14:paraId="40CAB6BA" w14:textId="77777777" w:rsidR="004E4160" w:rsidRPr="00F54AE6" w:rsidRDefault="004E4160" w:rsidP="00C55D59">
            <w:pPr>
              <w:spacing w:after="0" w:line="240" w:lineRule="auto"/>
              <w:jc w:val="center"/>
              <w:rPr>
                <w:rFonts w:ascii="Calibri" w:hAnsi="Calibri"/>
                <w:color w:val="000000"/>
                <w:sz w:val="20"/>
                <w:szCs w:val="20"/>
              </w:rPr>
            </w:pPr>
            <w:r w:rsidRPr="00F54AE6">
              <w:rPr>
                <w:rFonts w:ascii="Calibri" w:hAnsi="Calibri"/>
                <w:color w:val="000000"/>
                <w:sz w:val="20"/>
                <w:szCs w:val="20"/>
              </w:rPr>
              <w:t>5</w:t>
            </w:r>
          </w:p>
        </w:tc>
        <w:tc>
          <w:tcPr>
            <w:tcW w:w="4950" w:type="dxa"/>
          </w:tcPr>
          <w:p w14:paraId="3BD0D0AB" w14:textId="77777777" w:rsidR="004E4160" w:rsidRPr="00F54AE6" w:rsidRDefault="004E4160" w:rsidP="00C55D59">
            <w:pPr>
              <w:spacing w:after="0" w:line="240" w:lineRule="auto"/>
              <w:rPr>
                <w:rFonts w:ascii="Calibri" w:hAnsi="Calibri"/>
                <w:color w:val="000000"/>
                <w:sz w:val="20"/>
                <w:szCs w:val="20"/>
              </w:rPr>
            </w:pPr>
            <w:r w:rsidRPr="00F54AE6">
              <w:rPr>
                <w:rFonts w:ascii="Calibri" w:hAnsi="Calibri"/>
                <w:color w:val="000000"/>
                <w:sz w:val="20"/>
                <w:szCs w:val="20"/>
              </w:rPr>
              <w:t>Public agricultural research expenditures</w:t>
            </w:r>
          </w:p>
        </w:tc>
      </w:tr>
      <w:tr w:rsidR="004E4160" w:rsidRPr="00144D7F" w14:paraId="3A4EF7B5" w14:textId="77777777" w:rsidTr="00D02D03">
        <w:trPr>
          <w:trHeight w:val="300"/>
        </w:trPr>
        <w:tc>
          <w:tcPr>
            <w:tcW w:w="2895" w:type="dxa"/>
            <w:shd w:val="clear" w:color="auto" w:fill="auto"/>
            <w:noWrap/>
            <w:hideMark/>
          </w:tcPr>
          <w:p w14:paraId="7B6BF927"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Ecosystem management</w:t>
            </w:r>
          </w:p>
        </w:tc>
        <w:tc>
          <w:tcPr>
            <w:tcW w:w="1620" w:type="dxa"/>
          </w:tcPr>
          <w:p w14:paraId="78424666" w14:textId="77777777" w:rsidR="004E4160" w:rsidRPr="00F54AE6" w:rsidRDefault="004E4160"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4</w:t>
            </w:r>
          </w:p>
        </w:tc>
        <w:tc>
          <w:tcPr>
            <w:tcW w:w="4950" w:type="dxa"/>
          </w:tcPr>
          <w:p w14:paraId="2193B337"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Area of terrestrial reserves</w:t>
            </w:r>
          </w:p>
        </w:tc>
      </w:tr>
      <w:tr w:rsidR="004E4160" w:rsidRPr="00144D7F" w14:paraId="7F9BE687" w14:textId="77777777" w:rsidTr="00D02D03">
        <w:trPr>
          <w:trHeight w:val="300"/>
        </w:trPr>
        <w:tc>
          <w:tcPr>
            <w:tcW w:w="2895" w:type="dxa"/>
            <w:shd w:val="clear" w:color="auto" w:fill="auto"/>
            <w:noWrap/>
            <w:hideMark/>
          </w:tcPr>
          <w:p w14:paraId="0281B379"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Agricultural policy related to the environment</w:t>
            </w:r>
          </w:p>
        </w:tc>
        <w:tc>
          <w:tcPr>
            <w:tcW w:w="1620" w:type="dxa"/>
          </w:tcPr>
          <w:p w14:paraId="44CEDED5" w14:textId="77777777" w:rsidR="004E4160" w:rsidRPr="00F54AE6" w:rsidRDefault="004E4160" w:rsidP="00C55D59">
            <w:pPr>
              <w:spacing w:after="0" w:line="240" w:lineRule="auto"/>
              <w:jc w:val="center"/>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4</w:t>
            </w:r>
          </w:p>
        </w:tc>
        <w:tc>
          <w:tcPr>
            <w:tcW w:w="4950" w:type="dxa"/>
          </w:tcPr>
          <w:p w14:paraId="4F475BDC" w14:textId="77777777" w:rsidR="004E4160" w:rsidRPr="00F54AE6" w:rsidRDefault="004E4160" w:rsidP="00C55D59">
            <w:pPr>
              <w:spacing w:after="0" w:line="240" w:lineRule="auto"/>
              <w:rPr>
                <w:rFonts w:ascii="Calibri" w:eastAsia="Times New Roman" w:hAnsi="Calibri" w:cs="Times New Roman"/>
                <w:color w:val="000000"/>
                <w:sz w:val="20"/>
                <w:szCs w:val="20"/>
              </w:rPr>
            </w:pPr>
            <w:r w:rsidRPr="00F54AE6">
              <w:rPr>
                <w:rFonts w:ascii="Calibri" w:eastAsia="Times New Roman" w:hAnsi="Calibri" w:cs="Times New Roman"/>
                <w:color w:val="000000"/>
                <w:sz w:val="20"/>
                <w:szCs w:val="20"/>
              </w:rPr>
              <w:t>Pesticide regulations</w:t>
            </w:r>
          </w:p>
        </w:tc>
      </w:tr>
    </w:tbl>
    <w:p w14:paraId="1AE7C08E" w14:textId="77777777" w:rsidR="00144D7F" w:rsidRDefault="00144D7F" w:rsidP="00C83AAC">
      <w:pPr>
        <w:spacing w:after="0" w:line="240" w:lineRule="auto"/>
      </w:pPr>
    </w:p>
    <w:p w14:paraId="47D2D6A3" w14:textId="77777777" w:rsidR="00D655AF" w:rsidRPr="0047534E" w:rsidRDefault="00D655AF" w:rsidP="00145552">
      <w:pPr>
        <w:spacing w:after="0" w:line="240" w:lineRule="auto"/>
        <w:rPr>
          <w:color w:val="000099"/>
        </w:rPr>
      </w:pPr>
    </w:p>
    <w:p w14:paraId="7E80F6E4" w14:textId="77777777" w:rsidR="002C4F66" w:rsidRPr="00FF015E" w:rsidRDefault="003C1389" w:rsidP="000D6158">
      <w:pPr>
        <w:pStyle w:val="Overskrift1"/>
        <w:numPr>
          <w:ilvl w:val="0"/>
          <w:numId w:val="4"/>
        </w:numPr>
        <w:spacing w:before="0" w:line="240" w:lineRule="auto"/>
        <w:ind w:left="450" w:hanging="450"/>
        <w:rPr>
          <w:rFonts w:asciiTheme="minorHAnsi" w:hAnsiTheme="minorHAnsi"/>
          <w:color w:val="000099"/>
          <w:sz w:val="22"/>
          <w:szCs w:val="22"/>
        </w:rPr>
      </w:pPr>
      <w:bookmarkStart w:id="11" w:name="_Toc352660936"/>
      <w:bookmarkStart w:id="12" w:name="_Toc386694775"/>
      <w:bookmarkStart w:id="13" w:name="_Toc387076755"/>
      <w:r w:rsidRPr="00FF015E">
        <w:rPr>
          <w:rFonts w:asciiTheme="minorHAnsi" w:hAnsiTheme="minorHAnsi"/>
          <w:color w:val="000099"/>
          <w:sz w:val="22"/>
          <w:szCs w:val="22"/>
        </w:rPr>
        <w:t xml:space="preserve">PARAMETERS FOR </w:t>
      </w:r>
      <w:r w:rsidR="00C83AAC" w:rsidRPr="00FF015E">
        <w:rPr>
          <w:rFonts w:asciiTheme="minorHAnsi" w:hAnsiTheme="minorHAnsi"/>
          <w:color w:val="000099"/>
          <w:sz w:val="22"/>
          <w:szCs w:val="22"/>
        </w:rPr>
        <w:t>SELECTING CANDIDATE INDICATORS</w:t>
      </w:r>
      <w:bookmarkEnd w:id="11"/>
      <w:bookmarkEnd w:id="12"/>
      <w:bookmarkEnd w:id="13"/>
    </w:p>
    <w:p w14:paraId="348C7434" w14:textId="77777777" w:rsidR="00C83AAC" w:rsidRDefault="00C83AAC" w:rsidP="00C83AAC">
      <w:pPr>
        <w:spacing w:after="0" w:line="240" w:lineRule="auto"/>
      </w:pPr>
    </w:p>
    <w:p w14:paraId="0B52AD9C" w14:textId="2D359319" w:rsidR="00D655AF" w:rsidRDefault="00882EEE" w:rsidP="00D655AF">
      <w:pPr>
        <w:spacing w:after="0" w:line="240" w:lineRule="auto"/>
      </w:pPr>
      <w:r>
        <w:t xml:space="preserve">To </w:t>
      </w:r>
      <w:r w:rsidR="0075538B">
        <w:t xml:space="preserve">lay the foundation for </w:t>
      </w:r>
      <w:r>
        <w:t>identify</w:t>
      </w:r>
      <w:r w:rsidR="0075538B">
        <w:t>ing</w:t>
      </w:r>
      <w:r>
        <w:t xml:space="preserve"> candidate indicators on </w:t>
      </w:r>
      <w:r w:rsidR="00C53887">
        <w:t>environmental sustainability</w:t>
      </w:r>
      <w:r w:rsidR="00156626">
        <w:t xml:space="preserve"> of agriculture</w:t>
      </w:r>
      <w:r>
        <w:t xml:space="preserve">, we </w:t>
      </w:r>
      <w:r w:rsidR="00FA0DBC">
        <w:t>pursued a step-by-step process. F</w:t>
      </w:r>
      <w:r>
        <w:t>irst</w:t>
      </w:r>
      <w:r w:rsidR="00FA0DBC">
        <w:t>, we</w:t>
      </w:r>
      <w:r>
        <w:t xml:space="preserve"> </w:t>
      </w:r>
      <w:r w:rsidR="00FA0DBC">
        <w:t>identified</w:t>
      </w:r>
      <w:r>
        <w:t xml:space="preserve"> the most relevant “</w:t>
      </w:r>
      <w:r w:rsidR="00FA0DBC">
        <w:t>thematic areas</w:t>
      </w:r>
      <w:r>
        <w:t xml:space="preserve">” </w:t>
      </w:r>
      <w:r w:rsidR="00FA0DBC">
        <w:t xml:space="preserve">for indicators, that is, </w:t>
      </w:r>
      <w:r w:rsidR="00CA0F5A">
        <w:t xml:space="preserve">what we deemed are </w:t>
      </w:r>
      <w:r>
        <w:t xml:space="preserve">the most significant aspects </w:t>
      </w:r>
      <w:r w:rsidR="00FA0DBC">
        <w:t xml:space="preserve">or topics at the nexus of the environment and </w:t>
      </w:r>
      <w:r>
        <w:t>agriculture</w:t>
      </w:r>
      <w:r w:rsidR="006F1CA4">
        <w:t xml:space="preserve"> that candidate indicators should target</w:t>
      </w:r>
      <w:r>
        <w:t>.</w:t>
      </w:r>
      <w:r w:rsidR="00FA0DBC">
        <w:t xml:space="preserve"> Next, we </w:t>
      </w:r>
      <w:r>
        <w:t>identified the</w:t>
      </w:r>
      <w:r w:rsidR="00FA0DBC">
        <w:t xml:space="preserve"> generic</w:t>
      </w:r>
      <w:r>
        <w:t xml:space="preserve"> </w:t>
      </w:r>
      <w:r w:rsidR="00FA0DBC">
        <w:t xml:space="preserve">types of </w:t>
      </w:r>
      <w:r w:rsidR="00156626">
        <w:t>activity</w:t>
      </w:r>
      <w:r w:rsidR="00FA0DBC">
        <w:t xml:space="preserve"> that an index or indicators </w:t>
      </w:r>
      <w:r w:rsidR="004B179A">
        <w:t xml:space="preserve">can represent </w:t>
      </w:r>
      <w:r w:rsidR="00156626">
        <w:t>and</w:t>
      </w:r>
      <w:r w:rsidR="00FA0DBC">
        <w:t xml:space="preserve"> seek to influence, what we call the “causal chain.” Then we selected a suite of </w:t>
      </w:r>
      <w:r w:rsidR="00D655AF">
        <w:t xml:space="preserve">screening </w:t>
      </w:r>
      <w:r w:rsidR="00FA0DBC">
        <w:t>criteria against which to assess candidate indicators. For each of these activities, we leveraged the landscape assessment and</w:t>
      </w:r>
      <w:r w:rsidR="00D655AF">
        <w:t xml:space="preserve"> internal WRI expertise. </w:t>
      </w:r>
      <w:r w:rsidR="00FA0DBC">
        <w:t xml:space="preserve"> </w:t>
      </w:r>
      <w:r w:rsidR="002C6115">
        <w:t xml:space="preserve"> </w:t>
      </w:r>
    </w:p>
    <w:p w14:paraId="7DDAEE6B" w14:textId="77777777" w:rsidR="00D22912" w:rsidRDefault="00D22912" w:rsidP="00D655AF">
      <w:pPr>
        <w:spacing w:after="0" w:line="240" w:lineRule="auto"/>
      </w:pPr>
    </w:p>
    <w:p w14:paraId="52F97A47" w14:textId="77777777" w:rsidR="00C83AAC" w:rsidRPr="006168CB" w:rsidRDefault="00C83AAC" w:rsidP="006168CB">
      <w:pPr>
        <w:pStyle w:val="Overskrift2"/>
        <w:spacing w:before="0" w:after="120" w:line="240" w:lineRule="auto"/>
        <w:rPr>
          <w:rFonts w:asciiTheme="minorHAnsi" w:hAnsiTheme="minorHAnsi"/>
          <w:color w:val="000099"/>
          <w:sz w:val="22"/>
          <w:szCs w:val="22"/>
        </w:rPr>
      </w:pPr>
      <w:bookmarkStart w:id="14" w:name="_Toc352660937"/>
      <w:bookmarkStart w:id="15" w:name="_Toc386694776"/>
      <w:bookmarkStart w:id="16" w:name="_Toc387076756"/>
      <w:r w:rsidRPr="006168CB">
        <w:rPr>
          <w:rFonts w:asciiTheme="minorHAnsi" w:hAnsiTheme="minorHAnsi"/>
          <w:color w:val="000099"/>
          <w:sz w:val="22"/>
          <w:szCs w:val="22"/>
        </w:rPr>
        <w:t>Thematic areas</w:t>
      </w:r>
      <w:bookmarkEnd w:id="14"/>
      <w:bookmarkEnd w:id="15"/>
      <w:bookmarkEnd w:id="16"/>
    </w:p>
    <w:p w14:paraId="47D4D5ED" w14:textId="11BE0271" w:rsidR="006E7A40" w:rsidRDefault="00EA6425" w:rsidP="006168CB">
      <w:pPr>
        <w:spacing w:after="120" w:line="240" w:lineRule="auto"/>
      </w:pPr>
      <w:r>
        <w:t>Agriculture impacts a variety of natural resourc</w:t>
      </w:r>
      <w:r w:rsidR="00882EEE">
        <w:t>es and environmental phenomena.</w:t>
      </w:r>
      <w:r>
        <w:t xml:space="preserve"> Some</w:t>
      </w:r>
      <w:r w:rsidR="00882EEE">
        <w:t xml:space="preserve"> of these impacts</w:t>
      </w:r>
      <w:r>
        <w:t>, however, are more important for overall human well-being than others</w:t>
      </w:r>
      <w:r w:rsidR="00882EEE">
        <w:t xml:space="preserve"> and some comprise a significant share of overall human impact on the environment</w:t>
      </w:r>
      <w:r>
        <w:t xml:space="preserve">. Based upon </w:t>
      </w:r>
      <w:r w:rsidR="0039316F">
        <w:t xml:space="preserve">our assessment of these </w:t>
      </w:r>
      <w:r>
        <w:t>impacts, w</w:t>
      </w:r>
      <w:r w:rsidR="006E7A40">
        <w:t xml:space="preserve">e </w:t>
      </w:r>
      <w:r w:rsidR="00AA7EF0">
        <w:t>propose</w:t>
      </w:r>
      <w:r w:rsidR="006E7A40">
        <w:t xml:space="preserve"> </w:t>
      </w:r>
      <w:r>
        <w:t xml:space="preserve">that </w:t>
      </w:r>
      <w:r w:rsidR="00AA7EF0">
        <w:t>any</w:t>
      </w:r>
      <w:r>
        <w:t xml:space="preserve"> environmental sustainability </w:t>
      </w:r>
      <w:r w:rsidR="00AA7EF0">
        <w:t>index</w:t>
      </w:r>
      <w:r>
        <w:t xml:space="preserve"> reflect </w:t>
      </w:r>
      <w:r w:rsidR="00AA7EF0">
        <w:t xml:space="preserve">at least </w:t>
      </w:r>
      <w:r w:rsidR="006E7A40">
        <w:t>five themati</w:t>
      </w:r>
      <w:r>
        <w:t>c areas</w:t>
      </w:r>
      <w:r w:rsidR="00AA7EF0">
        <w:t xml:space="preserve">. The first three are those </w:t>
      </w:r>
      <w:r w:rsidR="000F4646">
        <w:t>that are the focus of environmental concern</w:t>
      </w:r>
      <w:r w:rsidR="00AA7EF0">
        <w:t xml:space="preserve"> in </w:t>
      </w:r>
      <w:r w:rsidR="00AA7EF0" w:rsidRPr="000F4646">
        <w:rPr>
          <w:i/>
        </w:rPr>
        <w:t>Creating a Sustainable Food Future</w:t>
      </w:r>
      <w:r w:rsidR="000F4646" w:rsidRPr="000F4646">
        <w:rPr>
          <w:i/>
        </w:rPr>
        <w:t>: Interim Findings</w:t>
      </w:r>
      <w:r w:rsidR="000F4646">
        <w:t>, namely:</w:t>
      </w:r>
    </w:p>
    <w:p w14:paraId="4B1FC0A9" w14:textId="3080E56D" w:rsidR="006E7A40" w:rsidRDefault="000F4646" w:rsidP="006168CB">
      <w:pPr>
        <w:pStyle w:val="Listeafsnit"/>
        <w:numPr>
          <w:ilvl w:val="0"/>
          <w:numId w:val="2"/>
        </w:numPr>
        <w:spacing w:after="120" w:line="240" w:lineRule="auto"/>
        <w:contextualSpacing w:val="0"/>
      </w:pPr>
      <w:r>
        <w:rPr>
          <w:b/>
          <w:i/>
        </w:rPr>
        <w:t>Water.</w:t>
      </w:r>
      <w:r w:rsidR="006E7A40">
        <w:t xml:space="preserve"> </w:t>
      </w:r>
      <w:r>
        <w:t xml:space="preserve"> A</w:t>
      </w:r>
      <w:r w:rsidR="006E7A40" w:rsidRPr="007F20D9">
        <w:t xml:space="preserve">griculture </w:t>
      </w:r>
      <w:r>
        <w:t>accounts</w:t>
      </w:r>
      <w:r w:rsidR="006E7A40" w:rsidRPr="007F20D9">
        <w:t xml:space="preserve"> for 70 percent of the world’s freshwater withdrawals</w:t>
      </w:r>
      <w:r w:rsidR="006E7A40" w:rsidRPr="007F20D9">
        <w:rPr>
          <w:vertAlign w:val="superscript"/>
        </w:rPr>
        <w:endnoteReference w:id="3"/>
      </w:r>
      <w:r w:rsidR="006E7A40" w:rsidRPr="007F20D9">
        <w:t xml:space="preserve"> and </w:t>
      </w:r>
      <w:r>
        <w:t>for</w:t>
      </w:r>
      <w:r w:rsidR="006E7A40" w:rsidRPr="007F20D9">
        <w:t xml:space="preserve"> </w:t>
      </w:r>
      <w:r>
        <w:t>80 to 90</w:t>
      </w:r>
      <w:r w:rsidR="006E7A40" w:rsidRPr="007F20D9">
        <w:t xml:space="preserve"> percent of its freshwater consumption.</w:t>
      </w:r>
      <w:r w:rsidR="006E7A40" w:rsidRPr="007F20D9">
        <w:rPr>
          <w:vertAlign w:val="superscript"/>
        </w:rPr>
        <w:endnoteReference w:id="4"/>
      </w:r>
    </w:p>
    <w:p w14:paraId="1C2EEBE3" w14:textId="2CBA1C85" w:rsidR="006E7A40" w:rsidRDefault="000F4646" w:rsidP="000F4646">
      <w:pPr>
        <w:pStyle w:val="Listeafsnit"/>
        <w:numPr>
          <w:ilvl w:val="0"/>
          <w:numId w:val="2"/>
        </w:numPr>
        <w:spacing w:after="120" w:line="240" w:lineRule="auto"/>
        <w:contextualSpacing w:val="0"/>
      </w:pPr>
      <w:r>
        <w:rPr>
          <w:b/>
          <w:i/>
        </w:rPr>
        <w:t>Climate change.</w:t>
      </w:r>
      <w:r w:rsidR="006E7A40">
        <w:t xml:space="preserve">  </w:t>
      </w:r>
      <w:r>
        <w:t>In</w:t>
      </w:r>
      <w:r w:rsidR="006E7A40" w:rsidRPr="006E7A40">
        <w:t xml:space="preserve"> 2010, </w:t>
      </w:r>
      <w:r w:rsidR="006E7A40">
        <w:t>a</w:t>
      </w:r>
      <w:r w:rsidR="006E7A40" w:rsidRPr="006E7A40">
        <w:t>bout 1</w:t>
      </w:r>
      <w:r w:rsidR="0096401D">
        <w:t>3</w:t>
      </w:r>
      <w:r w:rsidR="006E7A40" w:rsidRPr="006E7A40">
        <w:t xml:space="preserve"> percent of </w:t>
      </w:r>
      <w:r w:rsidR="00797980">
        <w:t xml:space="preserve">global anthropogenic greenhouse gas </w:t>
      </w:r>
      <w:r w:rsidR="006E7A40" w:rsidRPr="006E7A40">
        <w:t xml:space="preserve">emissions came from </w:t>
      </w:r>
      <w:r>
        <w:t>agricultural</w:t>
      </w:r>
      <w:r w:rsidR="00A950C9">
        <w:t xml:space="preserve"> </w:t>
      </w:r>
      <w:r w:rsidR="006E7A40" w:rsidRPr="006E7A40">
        <w:t>production, most notably</w:t>
      </w:r>
      <w:r w:rsidR="006E7A40">
        <w:t xml:space="preserve"> </w:t>
      </w:r>
      <w:r>
        <w:t>from ruminants, manure, fertilizers, rice, and on-farm energy use. Land use change, the majority of which is triggered by agriculture, contributed another 11 percent of global greenhouse gas emissions (Figure 1).</w:t>
      </w:r>
      <w:r w:rsidR="00FE3B0B">
        <w:rPr>
          <w:rStyle w:val="Slutnotehenvisning"/>
        </w:rPr>
        <w:endnoteReference w:id="5"/>
      </w:r>
      <w:r w:rsidR="006E7A40" w:rsidRPr="006E7A40">
        <w:t xml:space="preserve"> </w:t>
      </w:r>
    </w:p>
    <w:p w14:paraId="0283922B" w14:textId="6BE4345F" w:rsidR="00A45998" w:rsidRPr="00A45998" w:rsidRDefault="00A45998" w:rsidP="00A45998">
      <w:pPr>
        <w:pStyle w:val="Listeafsnit"/>
        <w:spacing w:after="120" w:line="240" w:lineRule="auto"/>
        <w:contextualSpacing w:val="0"/>
      </w:pPr>
      <w:r>
        <w:lastRenderedPageBreak/>
        <w:t xml:space="preserve">  </w:t>
      </w:r>
    </w:p>
    <w:p w14:paraId="4F1C2ACC" w14:textId="77777777" w:rsidR="006168CB" w:rsidRPr="006E7A40" w:rsidRDefault="006168CB" w:rsidP="006168CB">
      <w:pPr>
        <w:spacing w:after="120" w:line="240" w:lineRule="auto"/>
        <w:jc w:val="center"/>
      </w:pPr>
      <w:r>
        <w:rPr>
          <w:noProof/>
          <w:lang w:val="da-DK" w:eastAsia="da-DK"/>
        </w:rPr>
        <w:drawing>
          <wp:inline distT="0" distB="0" distL="0" distR="0" wp14:anchorId="6CDCA437" wp14:editId="56A1664C">
            <wp:extent cx="4731487" cy="3548615"/>
            <wp:effectExtent l="19050" t="19050" r="1206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bwMode="auto">
                    <a:xfrm>
                      <a:off x="0" y="0"/>
                      <a:ext cx="4731487" cy="354861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6A2AAF5" w14:textId="0C013940" w:rsidR="006E7A40" w:rsidRDefault="000F4646" w:rsidP="00FE3B0B">
      <w:pPr>
        <w:pStyle w:val="Listeafsnit"/>
        <w:numPr>
          <w:ilvl w:val="0"/>
          <w:numId w:val="2"/>
        </w:numPr>
        <w:spacing w:after="0" w:line="240" w:lineRule="auto"/>
        <w:contextualSpacing w:val="0"/>
      </w:pPr>
      <w:r>
        <w:rPr>
          <w:b/>
          <w:i/>
        </w:rPr>
        <w:t>Land conversion</w:t>
      </w:r>
      <w:r w:rsidR="006C0C8C">
        <w:rPr>
          <w:b/>
          <w:i/>
        </w:rPr>
        <w:t xml:space="preserve"> (terrestrial ecosystems)</w:t>
      </w:r>
      <w:r>
        <w:rPr>
          <w:b/>
          <w:i/>
        </w:rPr>
        <w:t>.</w:t>
      </w:r>
      <w:r w:rsidR="006E7A40">
        <w:t xml:space="preserve">  </w:t>
      </w:r>
      <w:r w:rsidR="006E7A40" w:rsidRPr="006E7A40">
        <w:t>Since the dawn of the first agricultural revolution 8,000-10,000 years ago, growing crops and raising livestock have been the primary cause of loss and degradation of natural ecosystems.</w:t>
      </w:r>
      <w:r w:rsidR="006E7A40" w:rsidRPr="006E7A40">
        <w:rPr>
          <w:vertAlign w:val="superscript"/>
        </w:rPr>
        <w:endnoteReference w:id="6"/>
      </w:r>
      <w:r w:rsidR="00A77495">
        <w:t xml:space="preserve"> </w:t>
      </w:r>
      <w:r w:rsidR="006E7A40" w:rsidRPr="006E7A40">
        <w:t>To</w:t>
      </w:r>
      <w:r w:rsidR="00FE3B0B">
        <w:t>day, 37</w:t>
      </w:r>
      <w:r w:rsidR="006E7A40" w:rsidRPr="006E7A40">
        <w:t xml:space="preserve"> percent of the planet’s landmass outside of Antarctica is already dedicated to growing food; 1</w:t>
      </w:r>
      <w:r w:rsidR="00FE3B0B">
        <w:t>2 percent is in croplands and 25</w:t>
      </w:r>
      <w:r w:rsidR="006E7A40" w:rsidRPr="006E7A40">
        <w:t xml:space="preserve"> percent is in grazing lands.</w:t>
      </w:r>
      <w:r w:rsidR="006E7A40" w:rsidRPr="006E7A40">
        <w:rPr>
          <w:vertAlign w:val="superscript"/>
        </w:rPr>
        <w:endnoteReference w:id="7"/>
      </w:r>
      <w:r w:rsidR="006E7A40" w:rsidRPr="006E7A40">
        <w:t xml:space="preserve"> The majority of </w:t>
      </w:r>
      <w:r w:rsidR="00FE3B0B">
        <w:t xml:space="preserve">current </w:t>
      </w:r>
      <w:r w:rsidR="006E7A40" w:rsidRPr="006E7A40">
        <w:t>land-use change in the world results from agriculture, in the form of the conversion of forests, wetlands, and grasslands into farms and grazing pastures. For instance, agriculture was responsible for roughly 80 percent of tropical deforestation between 2000 and 2010.</w:t>
      </w:r>
      <w:r w:rsidR="006E7A40" w:rsidRPr="006E7A40">
        <w:rPr>
          <w:rFonts w:cstheme="minorHAnsi"/>
          <w:vertAlign w:val="superscript"/>
        </w:rPr>
        <w:endnoteReference w:id="8"/>
      </w:r>
      <w:r w:rsidR="00E725D0">
        <w:t xml:space="preserve"> Land use change </w:t>
      </w:r>
      <w:r w:rsidR="00676E9B">
        <w:t>can be</w:t>
      </w:r>
      <w:r w:rsidR="00E725D0">
        <w:t xml:space="preserve"> a proxy for biodiversity</w:t>
      </w:r>
      <w:r w:rsidR="00673306">
        <w:t>,</w:t>
      </w:r>
      <w:r w:rsidR="00E725D0">
        <w:t xml:space="preserve"> as well, since habitat loss is the most significant cause of biodiversity loss in the world.</w:t>
      </w:r>
      <w:r w:rsidR="00673306">
        <w:rPr>
          <w:rStyle w:val="Slutnotehenvisning"/>
        </w:rPr>
        <w:endnoteReference w:id="9"/>
      </w:r>
    </w:p>
    <w:p w14:paraId="46515C97" w14:textId="77777777" w:rsidR="00FE3B0B" w:rsidRDefault="00FE3B0B" w:rsidP="00FE3B0B">
      <w:pPr>
        <w:spacing w:after="0" w:line="240" w:lineRule="auto"/>
      </w:pPr>
    </w:p>
    <w:p w14:paraId="2AD1938F" w14:textId="5EEED8D4" w:rsidR="00FE3B0B" w:rsidRPr="006E7A40" w:rsidRDefault="00FE3B0B" w:rsidP="00FE3B0B">
      <w:pPr>
        <w:spacing w:after="120" w:line="240" w:lineRule="auto"/>
      </w:pPr>
      <w:r>
        <w:t xml:space="preserve">The other two proposed thematic areas </w:t>
      </w:r>
      <w:r w:rsidR="006C0C8C">
        <w:t>have cross-cutting importance for human well-being, food security, climate, water, and ecosystems, namely:</w:t>
      </w:r>
    </w:p>
    <w:p w14:paraId="29851A20" w14:textId="5E27F977" w:rsidR="00E21781" w:rsidRPr="00BC4CDE" w:rsidRDefault="007B7C94" w:rsidP="006168CB">
      <w:pPr>
        <w:pStyle w:val="Listeafsnit"/>
        <w:numPr>
          <w:ilvl w:val="0"/>
          <w:numId w:val="2"/>
        </w:numPr>
        <w:spacing w:after="120" w:line="240" w:lineRule="auto"/>
        <w:contextualSpacing w:val="0"/>
        <w:rPr>
          <w:strike/>
        </w:rPr>
      </w:pPr>
      <w:r>
        <w:rPr>
          <w:b/>
          <w:i/>
        </w:rPr>
        <w:t>Soil health.</w:t>
      </w:r>
      <w:r w:rsidR="00E21781" w:rsidRPr="00221974">
        <w:t xml:space="preserve"> </w:t>
      </w:r>
      <w:r w:rsidR="00797980">
        <w:t xml:space="preserve"> </w:t>
      </w:r>
      <w:r>
        <w:t>S</w:t>
      </w:r>
      <w:r w:rsidR="00E21781" w:rsidRPr="00221974">
        <w:t xml:space="preserve">oil plays </w:t>
      </w:r>
      <w:r w:rsidR="00926900">
        <w:t>a key</w:t>
      </w:r>
      <w:r w:rsidR="00E21781" w:rsidRPr="00221974">
        <w:t xml:space="preserve"> role in maintaining a balanced ecosystem and producing quality agricultural products.</w:t>
      </w:r>
      <w:r w:rsidR="00E21781" w:rsidRPr="00221974">
        <w:rPr>
          <w:rStyle w:val="Slutnotehenvisning"/>
        </w:rPr>
        <w:endnoteReference w:id="10"/>
      </w:r>
      <w:r w:rsidR="00121818">
        <w:t xml:space="preserve"> </w:t>
      </w:r>
      <w:r w:rsidR="002F03A7" w:rsidRPr="00221974">
        <w:t xml:space="preserve">However, soil erosion and degradation </w:t>
      </w:r>
      <w:r w:rsidR="00121818">
        <w:t>continue</w:t>
      </w:r>
      <w:r w:rsidR="002F03A7" w:rsidRPr="00221974">
        <w:t xml:space="preserve"> to threaten the availability and productivity of land for growing food. Annually, about 10 million hectares of cropland are abandoned due to soil erosion</w:t>
      </w:r>
      <w:r w:rsidR="007B2DFD">
        <w:t xml:space="preserve"> and related loss of productivity</w:t>
      </w:r>
      <w:r w:rsidR="002F03A7" w:rsidRPr="00221974">
        <w:t>.</w:t>
      </w:r>
      <w:r w:rsidR="002F03A7" w:rsidRPr="00221974">
        <w:rPr>
          <w:rStyle w:val="Slutnotehenvisning"/>
        </w:rPr>
        <w:endnoteReference w:id="11"/>
      </w:r>
      <w:r w:rsidR="002F03A7" w:rsidRPr="00221974">
        <w:t xml:space="preserve"> </w:t>
      </w:r>
      <w:r w:rsidR="00406BA7">
        <w:t>It is</w:t>
      </w:r>
      <w:r w:rsidR="00221974" w:rsidRPr="00221974">
        <w:t xml:space="preserve"> estimate</w:t>
      </w:r>
      <w:r w:rsidR="00406BA7">
        <w:t>d</w:t>
      </w:r>
      <w:r w:rsidR="00221974" w:rsidRPr="00221974">
        <w:t xml:space="preserve"> that s</w:t>
      </w:r>
      <w:r w:rsidR="002F03A7" w:rsidRPr="00221974">
        <w:t>oil is being lost</w:t>
      </w:r>
      <w:r w:rsidR="00221974" w:rsidRPr="00221974">
        <w:t xml:space="preserve"> </w:t>
      </w:r>
      <w:r w:rsidR="00121818">
        <w:t xml:space="preserve">at a rate </w:t>
      </w:r>
      <w:r w:rsidR="002F03A7" w:rsidRPr="00221974">
        <w:t xml:space="preserve">10 to 40 times faster than the rate of soil </w:t>
      </w:r>
      <w:r w:rsidR="00221974" w:rsidRPr="00221974">
        <w:t>replenishment</w:t>
      </w:r>
      <w:r w:rsidR="002F03A7" w:rsidRPr="00221974">
        <w:t xml:space="preserve">, which poses a threat to </w:t>
      </w:r>
      <w:r>
        <w:t xml:space="preserve">long-term </w:t>
      </w:r>
      <w:r w:rsidR="002F03A7" w:rsidRPr="00221974">
        <w:t>human food security.</w:t>
      </w:r>
      <w:r w:rsidR="00221974" w:rsidRPr="00221974">
        <w:rPr>
          <w:rStyle w:val="Slutnotehenvisning"/>
        </w:rPr>
        <w:endnoteReference w:id="12"/>
      </w:r>
      <w:r w:rsidR="002B5F8D">
        <w:t xml:space="preserve"> Furthermore, in many places, soil’s capacity to retain nutrients, retain moisture, and maintain a healthy pH is declining.</w:t>
      </w:r>
      <w:r w:rsidR="002B5F8D">
        <w:rPr>
          <w:rStyle w:val="Slutnotehenvisning"/>
        </w:rPr>
        <w:endnoteReference w:id="13"/>
      </w:r>
    </w:p>
    <w:p w14:paraId="7247FC0A" w14:textId="63A5FAD9" w:rsidR="00EA6425" w:rsidRPr="006168CB" w:rsidRDefault="006E7A40" w:rsidP="002D4F72">
      <w:pPr>
        <w:pStyle w:val="Listeafsnit"/>
        <w:numPr>
          <w:ilvl w:val="0"/>
          <w:numId w:val="2"/>
        </w:numPr>
        <w:spacing w:after="0" w:line="240" w:lineRule="auto"/>
        <w:contextualSpacing w:val="0"/>
        <w:rPr>
          <w:b/>
          <w:i/>
        </w:rPr>
      </w:pPr>
      <w:r w:rsidRPr="007B2B1E">
        <w:rPr>
          <w:b/>
          <w:i/>
        </w:rPr>
        <w:t>Po</w:t>
      </w:r>
      <w:r w:rsidR="007B7C94">
        <w:rPr>
          <w:b/>
          <w:i/>
        </w:rPr>
        <w:t>llution (nutrients, pesticides).</w:t>
      </w:r>
      <w:r w:rsidR="00797980">
        <w:rPr>
          <w:b/>
          <w:i/>
        </w:rPr>
        <w:t xml:space="preserve"> </w:t>
      </w:r>
      <w:r w:rsidR="007B2B1E">
        <w:t xml:space="preserve"> Inputs of nutrients, particularly nitrogen and phosphorus, are essential for growing crops and supporting healthy crop yields. Maintaining balanced nutrient levels in the soil is critical to both production and environmental health: a deficiency in nutrients can reduce soil fertility and limit production, while surplus</w:t>
      </w:r>
      <w:r w:rsidR="00535FB0">
        <w:t xml:space="preserve"> nutrients </w:t>
      </w:r>
      <w:r w:rsidR="007B2B1E">
        <w:t>can lead to ecosystem degradation</w:t>
      </w:r>
      <w:r w:rsidR="009B7A8E">
        <w:t xml:space="preserve"> when </w:t>
      </w:r>
      <w:r w:rsidR="00797980">
        <w:t xml:space="preserve">nutrients are </w:t>
      </w:r>
      <w:r w:rsidR="009B7A8E">
        <w:t>lost to water or air</w:t>
      </w:r>
      <w:r w:rsidR="007B2B1E">
        <w:t xml:space="preserve">. Impacts of excess nutrients on the </w:t>
      </w:r>
      <w:r w:rsidR="007B2B1E">
        <w:lastRenderedPageBreak/>
        <w:t>environment include eutrophication of surface waters</w:t>
      </w:r>
      <w:r w:rsidR="00797980">
        <w:t>,</w:t>
      </w:r>
      <w:r w:rsidR="007B2B1E">
        <w:t xml:space="preserve"> impairment of groundwater</w:t>
      </w:r>
      <w:r w:rsidR="00797980">
        <w:t xml:space="preserve">, </w:t>
      </w:r>
      <w:r w:rsidR="007B2B1E">
        <w:t xml:space="preserve">and </w:t>
      </w:r>
      <w:r w:rsidR="00DA06B4">
        <w:t>emissions of harmful greenhouse gases</w:t>
      </w:r>
      <w:r w:rsidR="007B2B1E">
        <w:t xml:space="preserve">, particularly </w:t>
      </w:r>
      <w:r w:rsidR="007B2DFD">
        <w:t>nitrous oxide</w:t>
      </w:r>
      <w:r w:rsidR="007B2B1E">
        <w:t>.</w:t>
      </w:r>
      <w:r w:rsidR="009B7A8E">
        <w:rPr>
          <w:rStyle w:val="Slutnotehenvisning"/>
        </w:rPr>
        <w:endnoteReference w:id="14"/>
      </w:r>
      <w:r w:rsidR="007B2B1E">
        <w:t xml:space="preserve"> </w:t>
      </w:r>
      <w:r w:rsidR="00DA06B4">
        <w:t>Agricultural</w:t>
      </w:r>
      <w:r w:rsidR="007E7491">
        <w:t xml:space="preserve"> nutrient pollution </w:t>
      </w:r>
      <w:r w:rsidR="00DA06B4">
        <w:t>primarily stems from</w:t>
      </w:r>
      <w:r w:rsidR="007E7491">
        <w:t xml:space="preserve"> over-application </w:t>
      </w:r>
      <w:r w:rsidR="00E00CF1">
        <w:t xml:space="preserve">or poorly-timed application </w:t>
      </w:r>
      <w:r w:rsidR="007E7491">
        <w:t xml:space="preserve">of fertilizers to cropland and waste from livestock. </w:t>
      </w:r>
      <w:r w:rsidR="00797980">
        <w:t>Furthermore, c</w:t>
      </w:r>
      <w:r w:rsidR="009B7A8E">
        <w:t>hemical p</w:t>
      </w:r>
      <w:r w:rsidR="00505229">
        <w:t>esticides</w:t>
      </w:r>
      <w:r w:rsidR="00797980">
        <w:t>―</w:t>
      </w:r>
      <w:r w:rsidR="00505229">
        <w:t>while beneficial for pr</w:t>
      </w:r>
      <w:r w:rsidR="009B7A8E">
        <w:t>eventing crop losses</w:t>
      </w:r>
      <w:r w:rsidR="00505229">
        <w:t xml:space="preserve"> </w:t>
      </w:r>
      <w:r w:rsidR="009B7A8E">
        <w:t>to</w:t>
      </w:r>
      <w:r w:rsidR="00505229">
        <w:t xml:space="preserve"> </w:t>
      </w:r>
      <w:r w:rsidR="009B7A8E">
        <w:t>insects and other pests</w:t>
      </w:r>
      <w:r w:rsidR="00797980">
        <w:t>―</w:t>
      </w:r>
      <w:r w:rsidR="00505229">
        <w:t>can have detrimental effects on human health</w:t>
      </w:r>
      <w:r w:rsidR="00797980">
        <w:t>, wildlife, water quality,</w:t>
      </w:r>
      <w:r w:rsidR="00505229">
        <w:t xml:space="preserve"> and </w:t>
      </w:r>
      <w:r w:rsidR="00797980">
        <w:t xml:space="preserve">other </w:t>
      </w:r>
      <w:r w:rsidR="00505229">
        <w:t>environment</w:t>
      </w:r>
      <w:r w:rsidR="00797980">
        <w:t>al factors</w:t>
      </w:r>
      <w:r w:rsidR="00505229">
        <w:t xml:space="preserve"> depending on the</w:t>
      </w:r>
      <w:r w:rsidR="009B7A8E">
        <w:t xml:space="preserve"> toxicity of the constituent chemicals and</w:t>
      </w:r>
      <w:r w:rsidR="00505229">
        <w:t xml:space="preserve"> </w:t>
      </w:r>
      <w:r w:rsidR="009B7A8E">
        <w:t>application conditions</w:t>
      </w:r>
      <w:r w:rsidR="00505229">
        <w:t xml:space="preserve">.  </w:t>
      </w:r>
    </w:p>
    <w:p w14:paraId="16BA2C88" w14:textId="77777777" w:rsidR="00CA0F5A" w:rsidRDefault="00CA0F5A" w:rsidP="00FF015E">
      <w:pPr>
        <w:spacing w:after="0" w:line="240" w:lineRule="auto"/>
        <w:ind w:left="360"/>
      </w:pPr>
    </w:p>
    <w:p w14:paraId="3AD89C25" w14:textId="77777777" w:rsidR="00CA0F5A" w:rsidRPr="001F1E89" w:rsidRDefault="00CA0F5A" w:rsidP="00FF015E">
      <w:pPr>
        <w:spacing w:after="0" w:line="240" w:lineRule="auto"/>
      </w:pPr>
      <w:r>
        <w:t xml:space="preserve">Four of these five thematic areas align with international conventions. Climate change is covered in the UN Framework Convention on Climate Change (UNFCCC); land conversion has links to the UNFCCC and the Convention on Biological Diversity (CBD); soil health has links to the UN Convention to Combat Desertification (UNCCD); and pesticide pollution has links to the </w:t>
      </w:r>
      <w:r w:rsidRPr="001F1E89">
        <w:t>Stockholm Convention on Persistent Organic Pollutants</w:t>
      </w:r>
      <w:r>
        <w:t xml:space="preserve"> and the </w:t>
      </w:r>
      <w:r w:rsidRPr="001F1E89">
        <w:t>Rotterdam Convention</w:t>
      </w:r>
      <w:r>
        <w:t xml:space="preserve">.  </w:t>
      </w:r>
    </w:p>
    <w:p w14:paraId="4E9CF13C" w14:textId="77777777" w:rsidR="00D655AF" w:rsidRDefault="00D655AF" w:rsidP="00014AD0">
      <w:pPr>
        <w:pStyle w:val="Overskrift2"/>
        <w:spacing w:before="0" w:line="240" w:lineRule="auto"/>
        <w:rPr>
          <w:rFonts w:asciiTheme="minorHAnsi" w:hAnsiTheme="minorHAnsi"/>
          <w:color w:val="0000FF"/>
          <w:sz w:val="22"/>
          <w:szCs w:val="22"/>
        </w:rPr>
      </w:pPr>
    </w:p>
    <w:p w14:paraId="75DF7052" w14:textId="5E9CD22D" w:rsidR="00C83AAC" w:rsidRPr="00D655AF" w:rsidRDefault="000B0836" w:rsidP="004B179A">
      <w:pPr>
        <w:pStyle w:val="Overskrift2"/>
        <w:spacing w:before="0" w:after="120" w:line="240" w:lineRule="auto"/>
        <w:rPr>
          <w:rFonts w:asciiTheme="minorHAnsi" w:hAnsiTheme="minorHAnsi"/>
          <w:color w:val="000099"/>
          <w:sz w:val="22"/>
          <w:szCs w:val="22"/>
        </w:rPr>
      </w:pPr>
      <w:bookmarkStart w:id="17" w:name="_Toc352660938"/>
      <w:bookmarkStart w:id="18" w:name="_Toc386694777"/>
      <w:bookmarkStart w:id="19" w:name="_Toc387076757"/>
      <w:r>
        <w:rPr>
          <w:rFonts w:asciiTheme="minorHAnsi" w:hAnsiTheme="minorHAnsi"/>
          <w:color w:val="000099"/>
          <w:sz w:val="22"/>
          <w:szCs w:val="22"/>
        </w:rPr>
        <w:t>Stage in c</w:t>
      </w:r>
      <w:r w:rsidR="00C83AAC" w:rsidRPr="00D655AF">
        <w:rPr>
          <w:rFonts w:asciiTheme="minorHAnsi" w:hAnsiTheme="minorHAnsi"/>
          <w:color w:val="000099"/>
          <w:sz w:val="22"/>
          <w:szCs w:val="22"/>
        </w:rPr>
        <w:t>ausal chain</w:t>
      </w:r>
      <w:bookmarkEnd w:id="17"/>
      <w:bookmarkEnd w:id="18"/>
      <w:bookmarkEnd w:id="19"/>
    </w:p>
    <w:p w14:paraId="17E4FEB7" w14:textId="0B3F0B43" w:rsidR="005C0F89" w:rsidRDefault="006F1CA4" w:rsidP="00145552">
      <w:pPr>
        <w:spacing w:after="0" w:line="240" w:lineRule="auto"/>
      </w:pPr>
      <w:r>
        <w:t xml:space="preserve">Indices and indicators seek to </w:t>
      </w:r>
      <w:r w:rsidR="004B179A">
        <w:t xml:space="preserve">reflect and ultimately </w:t>
      </w:r>
      <w:r>
        <w:t xml:space="preserve">influence multiple </w:t>
      </w:r>
      <w:r w:rsidR="00145552">
        <w:t>types of behavior</w:t>
      </w:r>
      <w:r w:rsidR="004B179A">
        <w:t>. With regard to agriculture, they can reflect policies, practices, and</w:t>
      </w:r>
      <w:r w:rsidR="00166806">
        <w:t xml:space="preserve"> performance, a combination that constitutes </w:t>
      </w:r>
      <w:r w:rsidR="004B179A">
        <w:t xml:space="preserve">a causal chain of behavior. </w:t>
      </w:r>
      <w:r w:rsidR="00B624E1">
        <w:t>More specifically</w:t>
      </w:r>
      <w:r w:rsidR="004B179A">
        <w:t>, government policies can influence</w:t>
      </w:r>
      <w:r w:rsidR="00F00FAC">
        <w:t xml:space="preserve"> </w:t>
      </w:r>
      <w:r w:rsidR="004B179A">
        <w:t xml:space="preserve">farmer </w:t>
      </w:r>
      <w:r w:rsidR="00F00FAC">
        <w:t>practice</w:t>
      </w:r>
      <w:r w:rsidR="004B179A">
        <w:t>s</w:t>
      </w:r>
      <w:r w:rsidR="00F00FAC">
        <w:t xml:space="preserve"> which in turn </w:t>
      </w:r>
      <w:r w:rsidR="004B179A">
        <w:t>can determine on-the-ground</w:t>
      </w:r>
      <w:r w:rsidR="00F00FAC">
        <w:t xml:space="preserve"> performance</w:t>
      </w:r>
      <w:r w:rsidR="004B179A">
        <w:t xml:space="preserve"> or</w:t>
      </w:r>
      <w:r w:rsidR="0072546D">
        <w:t xml:space="preserve"> condition</w:t>
      </w:r>
      <w:r w:rsidR="004B179A">
        <w:t xml:space="preserve">s. </w:t>
      </w:r>
      <w:r w:rsidR="00F00FAC">
        <w:t xml:space="preserve">For example, a </w:t>
      </w:r>
      <w:r w:rsidR="004B179A">
        <w:t>regulation</w:t>
      </w:r>
      <w:r w:rsidR="00F00FAC">
        <w:t xml:space="preserve"> </w:t>
      </w:r>
      <w:r w:rsidR="00B624E1">
        <w:t xml:space="preserve">(“policy”) </w:t>
      </w:r>
      <w:r w:rsidR="00F00FAC">
        <w:t xml:space="preserve">that requires a farmer to measure the water </w:t>
      </w:r>
      <w:r w:rsidR="004B179A">
        <w:t>s</w:t>
      </w:r>
      <w:r w:rsidR="00F00FAC">
        <w:t xml:space="preserve">he withdraws for </w:t>
      </w:r>
      <w:r w:rsidR="004B179A">
        <w:t>crop irrigation can</w:t>
      </w:r>
      <w:r w:rsidR="00F00FAC">
        <w:t xml:space="preserve"> </w:t>
      </w:r>
      <w:r w:rsidR="004B179A">
        <w:t>create an incentive for her to</w:t>
      </w:r>
      <w:r w:rsidR="00F00FAC">
        <w:t xml:space="preserve"> </w:t>
      </w:r>
      <w:r w:rsidR="004B179A">
        <w:t>implement</w:t>
      </w:r>
      <w:r w:rsidR="00F00FAC">
        <w:t xml:space="preserve"> </w:t>
      </w:r>
      <w:r w:rsidR="000A5FE8">
        <w:t xml:space="preserve">conservation irrigation techniques </w:t>
      </w:r>
      <w:r w:rsidR="004B179A">
        <w:t xml:space="preserve">(“practice”) </w:t>
      </w:r>
      <w:r w:rsidR="000A5FE8">
        <w:t>which</w:t>
      </w:r>
      <w:r w:rsidR="004B179A">
        <w:t>,</w:t>
      </w:r>
      <w:r w:rsidR="000A5FE8">
        <w:t xml:space="preserve"> in turn</w:t>
      </w:r>
      <w:r w:rsidR="004B179A">
        <w:t>,</w:t>
      </w:r>
      <w:r w:rsidR="000A5FE8">
        <w:t xml:space="preserve"> </w:t>
      </w:r>
      <w:r w:rsidR="004B179A">
        <w:t>can</w:t>
      </w:r>
      <w:r w:rsidR="000A5FE8">
        <w:t xml:space="preserve"> </w:t>
      </w:r>
      <w:r w:rsidR="004B179A">
        <w:t xml:space="preserve">affect the “crop per drop” </w:t>
      </w:r>
      <w:r w:rsidR="00166806">
        <w:t xml:space="preserve">or the water use efficiency </w:t>
      </w:r>
      <w:r w:rsidR="004B179A">
        <w:t>on her farm (“performance”)</w:t>
      </w:r>
      <w:r w:rsidR="005C0F89">
        <w:t xml:space="preserve">. </w:t>
      </w:r>
    </w:p>
    <w:p w14:paraId="470C6ECC" w14:textId="77777777" w:rsidR="005C0F89" w:rsidRDefault="005C0F89" w:rsidP="00145552">
      <w:pPr>
        <w:spacing w:after="0" w:line="240" w:lineRule="auto"/>
      </w:pPr>
    </w:p>
    <w:p w14:paraId="4F2ECEC2" w14:textId="1A047D87" w:rsidR="00CA0F5A" w:rsidRDefault="005C0F89" w:rsidP="00CA0F5A">
      <w:pPr>
        <w:spacing w:after="0" w:line="240" w:lineRule="auto"/>
      </w:pPr>
      <w:r>
        <w:t xml:space="preserve">Ideally, indicators on environmental sustainability </w:t>
      </w:r>
      <w:r w:rsidR="00B624E1">
        <w:t>sh</w:t>
      </w:r>
      <w:r>
        <w:t xml:space="preserve">ould reflect all three parts of the causal chain in order to be comprehensive. Policy </w:t>
      </w:r>
      <w:r w:rsidR="00166806">
        <w:t xml:space="preserve">indicators </w:t>
      </w:r>
      <w:r w:rsidR="00B624E1">
        <w:t>reflect</w:t>
      </w:r>
      <w:r>
        <w:t xml:space="preserve"> the policies </w:t>
      </w:r>
      <w:r w:rsidR="00166806">
        <w:t xml:space="preserve">that could create the right enabling conditions or incentives for sustainable agriculture. Practice indicators </w:t>
      </w:r>
      <w:r w:rsidR="00B624E1">
        <w:t>reflect</w:t>
      </w:r>
      <w:r w:rsidR="00166806">
        <w:t xml:space="preserve"> the on-farm practices that realize sustainable agriculture. Performance indicators </w:t>
      </w:r>
      <w:r w:rsidR="00B624E1">
        <w:t>reflect</w:t>
      </w:r>
      <w:r w:rsidR="00166806">
        <w:t xml:space="preserve"> the desired, </w:t>
      </w:r>
      <w:r>
        <w:t>o</w:t>
      </w:r>
      <w:r w:rsidR="00B624E1">
        <w:t xml:space="preserve">n-the-ground, biophysical state of the world. </w:t>
      </w:r>
    </w:p>
    <w:p w14:paraId="7F6E8D47" w14:textId="77777777" w:rsidR="00CA0F5A" w:rsidRDefault="00CA0F5A" w:rsidP="00145552">
      <w:pPr>
        <w:spacing w:after="0" w:line="240" w:lineRule="auto"/>
      </w:pPr>
    </w:p>
    <w:p w14:paraId="732E994F" w14:textId="741D103A" w:rsidR="00963144" w:rsidRDefault="00963144" w:rsidP="00145552">
      <w:pPr>
        <w:spacing w:after="0" w:line="240" w:lineRule="auto"/>
      </w:pPr>
      <w:r>
        <w:t xml:space="preserve">Of course, this </w:t>
      </w:r>
      <w:r w:rsidR="00750753">
        <w:t xml:space="preserve">causal chain </w:t>
      </w:r>
      <w:r>
        <w:t xml:space="preserve">represents a simplification of </w:t>
      </w:r>
      <w:r w:rsidR="00750753">
        <w:t xml:space="preserve">a </w:t>
      </w:r>
      <w:r>
        <w:t xml:space="preserve">reality </w:t>
      </w:r>
      <w:r w:rsidR="00E00CF1">
        <w:t xml:space="preserve">that </w:t>
      </w:r>
      <w:r>
        <w:t xml:space="preserve">has complex interactions at political, social, and economic levels. </w:t>
      </w:r>
      <w:r w:rsidR="00CA0F5A" w:rsidRPr="000D1478">
        <w:t xml:space="preserve">Policy is a bundle of steps itself.  </w:t>
      </w:r>
      <w:r w:rsidR="00CA0F5A">
        <w:t>For instance, p</w:t>
      </w:r>
      <w:r w:rsidR="00CA0F5A" w:rsidRPr="000D1478">
        <w:t>olicies create regulations or incentives, the effectiveness of which is a function in part of enforcement.</w:t>
      </w:r>
      <w:r w:rsidR="00B624E1">
        <w:t xml:space="preserve">  </w:t>
      </w:r>
      <w:r>
        <w:t>Practices are not always triggered by policies in a linear fashion, just as performance is not a linear result of practices.</w:t>
      </w:r>
      <w:r w:rsidR="00750753">
        <w:t xml:space="preserve"> Nonetheless, this three-part structure can provide a useful framework for the types of indicators to select or develop.</w:t>
      </w:r>
    </w:p>
    <w:p w14:paraId="5DBC6442" w14:textId="77777777" w:rsidR="00963144" w:rsidRDefault="00963144" w:rsidP="00145552">
      <w:pPr>
        <w:spacing w:after="0" w:line="240" w:lineRule="auto"/>
      </w:pPr>
    </w:p>
    <w:p w14:paraId="1F5F1BDC" w14:textId="5589FFDB" w:rsidR="004B179A" w:rsidRDefault="00963144" w:rsidP="00145552">
      <w:pPr>
        <w:spacing w:after="0" w:line="240" w:lineRule="auto"/>
      </w:pPr>
      <w:r>
        <w:t>T</w:t>
      </w:r>
      <w:r w:rsidR="005C0F89">
        <w:t xml:space="preserve">here are </w:t>
      </w:r>
      <w:r w:rsidR="00750753">
        <w:t xml:space="preserve">some </w:t>
      </w:r>
      <w:r w:rsidR="005C0F89">
        <w:t xml:space="preserve">generic trade-offs </w:t>
      </w:r>
      <w:r w:rsidR="00750753">
        <w:t xml:space="preserve">between indicators </w:t>
      </w:r>
      <w:r w:rsidR="005C0F89">
        <w:t xml:space="preserve">along </w:t>
      </w:r>
      <w:r w:rsidR="00750753">
        <w:t>this causal</w:t>
      </w:r>
      <w:r w:rsidR="005C0F89">
        <w:t xml:space="preserve"> chain</w:t>
      </w:r>
      <w:r>
        <w:t xml:space="preserve"> (Figure 2)</w:t>
      </w:r>
      <w:r w:rsidR="005C0F89">
        <w:t xml:space="preserve">. Performance </w:t>
      </w:r>
      <w:r w:rsidR="00166806">
        <w:t>indicators tend to measure real world conditions and</w:t>
      </w:r>
      <w:r>
        <w:t>,</w:t>
      </w:r>
      <w:r w:rsidR="00166806">
        <w:t xml:space="preserve"> therefore</w:t>
      </w:r>
      <w:r>
        <w:t>,</w:t>
      </w:r>
      <w:r w:rsidR="00166806">
        <w:t xml:space="preserve"> arguably reflect</w:t>
      </w:r>
      <w:r w:rsidR="005C0F89">
        <w:t xml:space="preserve"> </w:t>
      </w:r>
      <w:r w:rsidR="00B624E1">
        <w:t xml:space="preserve">more accurately </w:t>
      </w:r>
      <w:r w:rsidR="00166806">
        <w:t>what is happening “on the ground”</w:t>
      </w:r>
      <w:r>
        <w:t xml:space="preserve"> than policy indicators.</w:t>
      </w:r>
      <w:r w:rsidR="00166806">
        <w:t xml:space="preserve"> </w:t>
      </w:r>
      <w:r w:rsidR="00B624E1">
        <w:t>P</w:t>
      </w:r>
      <w:r>
        <w:t>olicies</w:t>
      </w:r>
      <w:r w:rsidR="00B624E1">
        <w:t>, on the other hand,</w:t>
      </w:r>
      <w:r>
        <w:t xml:space="preserve"> </w:t>
      </w:r>
      <w:r w:rsidR="00B624E1">
        <w:t>do not always</w:t>
      </w:r>
      <w:r w:rsidR="00166806">
        <w:t xml:space="preserve"> </w:t>
      </w:r>
      <w:r w:rsidR="00B624E1">
        <w:t>yield on-the-ground results</w:t>
      </w:r>
      <w:r w:rsidR="00166806">
        <w:t xml:space="preserve"> </w:t>
      </w:r>
      <w:r w:rsidR="00B624E1">
        <w:t>if there is poor</w:t>
      </w:r>
      <w:r w:rsidR="00166806">
        <w:t xml:space="preserve"> design </w:t>
      </w:r>
      <w:r w:rsidR="00B624E1">
        <w:t>or</w:t>
      </w:r>
      <w:r w:rsidR="00166806">
        <w:t xml:space="preserve"> enforcement. On the other hand, policy indicators are typically eas</w:t>
      </w:r>
      <w:r>
        <w:t xml:space="preserve">ier </w:t>
      </w:r>
      <w:r w:rsidR="00166806">
        <w:t xml:space="preserve">and </w:t>
      </w:r>
      <w:r>
        <w:t>less</w:t>
      </w:r>
      <w:r w:rsidR="00166806">
        <w:t xml:space="preserve"> resource-</w:t>
      </w:r>
      <w:r>
        <w:t>intensive to assess and measure than performance indicators.</w:t>
      </w:r>
      <w:r w:rsidR="00CA0F5A">
        <w:t xml:space="preserve"> Furthermore, policy indicators are actionable for governments, whereas performance indicators are more difficult for governments to act </w:t>
      </w:r>
      <w:r w:rsidR="00B624E1">
        <w:t>upon</w:t>
      </w:r>
      <w:r w:rsidR="00CA0F5A">
        <w:t>.</w:t>
      </w:r>
    </w:p>
    <w:p w14:paraId="1EBC7F45" w14:textId="77777777" w:rsidR="00FA0DBC" w:rsidRDefault="00FA0DBC" w:rsidP="00963144">
      <w:pPr>
        <w:spacing w:after="0" w:line="240" w:lineRule="auto"/>
      </w:pPr>
    </w:p>
    <w:p w14:paraId="406B4452" w14:textId="62E22D73" w:rsidR="00963144" w:rsidRDefault="001058AA" w:rsidP="00750753">
      <w:pPr>
        <w:spacing w:after="0" w:line="240" w:lineRule="auto"/>
        <w:jc w:val="center"/>
      </w:pPr>
      <w:r>
        <w:rPr>
          <w:noProof/>
          <w:lang w:val="da-DK" w:eastAsia="da-DK"/>
        </w:rPr>
        <w:lastRenderedPageBreak/>
        <w:drawing>
          <wp:inline distT="0" distB="0" distL="0" distR="0" wp14:anchorId="19F67703" wp14:editId="214F62A9">
            <wp:extent cx="4448175" cy="3341370"/>
            <wp:effectExtent l="19050" t="19050" r="2857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2500" r="12660"/>
                    <a:stretch/>
                  </pic:blipFill>
                  <pic:spPr bwMode="auto">
                    <a:xfrm>
                      <a:off x="0" y="0"/>
                      <a:ext cx="4448175" cy="334137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E28D7DA" w14:textId="77777777" w:rsidR="00963144" w:rsidRPr="00963144" w:rsidRDefault="00963144" w:rsidP="00963144">
      <w:pPr>
        <w:spacing w:after="0" w:line="240" w:lineRule="auto"/>
      </w:pPr>
    </w:p>
    <w:p w14:paraId="2FEDACC6" w14:textId="77777777" w:rsidR="00C83AAC" w:rsidRPr="00002B05" w:rsidRDefault="00C83AAC" w:rsidP="00002B05">
      <w:pPr>
        <w:pStyle w:val="Overskrift2"/>
        <w:spacing w:before="0" w:after="120" w:line="240" w:lineRule="auto"/>
        <w:rPr>
          <w:rFonts w:asciiTheme="minorHAnsi" w:hAnsiTheme="minorHAnsi"/>
          <w:color w:val="000099"/>
          <w:sz w:val="22"/>
          <w:szCs w:val="22"/>
        </w:rPr>
      </w:pPr>
      <w:bookmarkStart w:id="20" w:name="_Toc352660939"/>
      <w:bookmarkStart w:id="21" w:name="_Toc386694778"/>
      <w:bookmarkStart w:id="22" w:name="_Toc387076758"/>
      <w:r w:rsidRPr="00002B05">
        <w:rPr>
          <w:rFonts w:asciiTheme="minorHAnsi" w:hAnsiTheme="minorHAnsi"/>
          <w:color w:val="000099"/>
          <w:sz w:val="22"/>
          <w:szCs w:val="22"/>
        </w:rPr>
        <w:t>Screening criteria</w:t>
      </w:r>
      <w:bookmarkEnd w:id="20"/>
      <w:bookmarkEnd w:id="21"/>
      <w:bookmarkEnd w:id="22"/>
    </w:p>
    <w:p w14:paraId="4C09F508" w14:textId="2F0D55DC" w:rsidR="00C83AAC" w:rsidRDefault="00926848" w:rsidP="00002B05">
      <w:pPr>
        <w:spacing w:after="120" w:line="240" w:lineRule="auto"/>
      </w:pPr>
      <w:r>
        <w:t>After identifying</w:t>
      </w:r>
      <w:r w:rsidR="00922015">
        <w:t xml:space="preserve"> thematic areas and steps in the causal chain, </w:t>
      </w:r>
      <w:r w:rsidR="00527239">
        <w:t>we</w:t>
      </w:r>
      <w:r w:rsidR="00922015">
        <w:t xml:space="preserve"> then </w:t>
      </w:r>
      <w:r w:rsidR="00C83AAC">
        <w:t>determine</w:t>
      </w:r>
      <w:r w:rsidR="00527239">
        <w:t>d</w:t>
      </w:r>
      <w:r w:rsidR="00C83AAC">
        <w:t xml:space="preserve"> the criteria </w:t>
      </w:r>
      <w:r w:rsidR="003140B0">
        <w:t xml:space="preserve">or methodological features </w:t>
      </w:r>
      <w:r w:rsidR="00C83AAC">
        <w:t>against which to assess the suitability of an environmental sustainability indicator</w:t>
      </w:r>
      <w:r w:rsidR="00D655AF">
        <w:t xml:space="preserve">. </w:t>
      </w:r>
      <w:r>
        <w:t>We used the following criteria to</w:t>
      </w:r>
      <w:r w:rsidR="006C04DB">
        <w:t xml:space="preserve"> assess </w:t>
      </w:r>
      <w:r>
        <w:t>suitability</w:t>
      </w:r>
      <w:r w:rsidR="00C83AAC">
        <w:t>:</w:t>
      </w:r>
    </w:p>
    <w:p w14:paraId="350A0A3A" w14:textId="77777777" w:rsidR="00C83AAC" w:rsidRPr="00C83AAC" w:rsidRDefault="00C83AAC" w:rsidP="00002B05">
      <w:pPr>
        <w:pStyle w:val="Listeafsnit"/>
        <w:numPr>
          <w:ilvl w:val="0"/>
          <w:numId w:val="1"/>
        </w:numPr>
        <w:spacing w:after="120" w:line="240" w:lineRule="auto"/>
        <w:contextualSpacing w:val="0"/>
      </w:pPr>
      <w:r w:rsidRPr="003140B0">
        <w:rPr>
          <w:b/>
          <w:i/>
        </w:rPr>
        <w:t>Available:</w:t>
      </w:r>
      <w:r>
        <w:t xml:space="preserve">  Are the data underlying the indicator currently available for most countries?</w:t>
      </w:r>
      <w:r w:rsidRPr="00C83AAC">
        <w:tab/>
      </w:r>
      <w:r w:rsidRPr="00C83AAC">
        <w:tab/>
      </w:r>
    </w:p>
    <w:p w14:paraId="5D371023" w14:textId="77777777" w:rsidR="00C83AAC" w:rsidRPr="00C83AAC" w:rsidRDefault="00C83AAC" w:rsidP="00002B05">
      <w:pPr>
        <w:pStyle w:val="Listeafsnit"/>
        <w:numPr>
          <w:ilvl w:val="0"/>
          <w:numId w:val="1"/>
        </w:numPr>
        <w:spacing w:after="120" w:line="240" w:lineRule="auto"/>
        <w:contextualSpacing w:val="0"/>
      </w:pPr>
      <w:r w:rsidRPr="003140B0">
        <w:rPr>
          <w:b/>
          <w:i/>
        </w:rPr>
        <w:t>Accurate:</w:t>
      </w:r>
      <w:r>
        <w:t xml:space="preserve">  Are the data underlying the indicator accurate, reliable, and representative of reality?</w:t>
      </w:r>
      <w:r w:rsidRPr="00C83AAC">
        <w:tab/>
      </w:r>
    </w:p>
    <w:p w14:paraId="2472E9FB" w14:textId="54311599" w:rsidR="00C83AAC" w:rsidRPr="00C83AAC" w:rsidRDefault="00C83AAC" w:rsidP="00002B05">
      <w:pPr>
        <w:pStyle w:val="Listeafsnit"/>
        <w:numPr>
          <w:ilvl w:val="0"/>
          <w:numId w:val="1"/>
        </w:numPr>
        <w:spacing w:after="120" w:line="240" w:lineRule="auto"/>
        <w:contextualSpacing w:val="0"/>
      </w:pPr>
      <w:r w:rsidRPr="003140B0">
        <w:rPr>
          <w:b/>
          <w:i/>
        </w:rPr>
        <w:t>Consistent:</w:t>
      </w:r>
      <w:r>
        <w:t xml:space="preserve">  Are the data collection methods consistent an</w:t>
      </w:r>
      <w:r w:rsidR="00926848">
        <w:t>d the data comparable across all</w:t>
      </w:r>
      <w:r>
        <w:t xml:space="preserve"> countries?</w:t>
      </w:r>
    </w:p>
    <w:p w14:paraId="6786FECC" w14:textId="77777777" w:rsidR="00C83AAC" w:rsidRPr="00C83AAC" w:rsidRDefault="00C83AAC" w:rsidP="00002B05">
      <w:pPr>
        <w:pStyle w:val="Listeafsnit"/>
        <w:numPr>
          <w:ilvl w:val="0"/>
          <w:numId w:val="1"/>
        </w:numPr>
        <w:spacing w:after="120" w:line="240" w:lineRule="auto"/>
        <w:contextualSpacing w:val="0"/>
      </w:pPr>
      <w:r w:rsidRPr="003140B0">
        <w:rPr>
          <w:b/>
          <w:i/>
        </w:rPr>
        <w:t>Frequent:</w:t>
      </w:r>
      <w:r>
        <w:t xml:space="preserve">  Are the data </w:t>
      </w:r>
      <w:r w:rsidR="003140B0">
        <w:t xml:space="preserve">regularly </w:t>
      </w:r>
      <w:r>
        <w:t xml:space="preserve">collected or updated </w:t>
      </w:r>
      <w:r w:rsidR="003140B0">
        <w:t>such that they are</w:t>
      </w:r>
      <w:r>
        <w:t xml:space="preserve"> relatively current?</w:t>
      </w:r>
    </w:p>
    <w:p w14:paraId="40E9D64A" w14:textId="155FA6B5" w:rsidR="00C83AAC" w:rsidRPr="00C83AAC" w:rsidRDefault="00C83AAC" w:rsidP="00002B05">
      <w:pPr>
        <w:pStyle w:val="Listeafsnit"/>
        <w:numPr>
          <w:ilvl w:val="0"/>
          <w:numId w:val="1"/>
        </w:numPr>
        <w:spacing w:after="120" w:line="240" w:lineRule="auto"/>
        <w:contextualSpacing w:val="0"/>
      </w:pPr>
      <w:r w:rsidRPr="003140B0">
        <w:rPr>
          <w:b/>
          <w:i/>
        </w:rPr>
        <w:t>Proximate</w:t>
      </w:r>
      <w:r w:rsidR="003140B0" w:rsidRPr="003140B0">
        <w:rPr>
          <w:b/>
          <w:i/>
        </w:rPr>
        <w:t>:</w:t>
      </w:r>
      <w:r w:rsidR="003140B0">
        <w:t xml:space="preserve">  </w:t>
      </w:r>
      <w:r w:rsidR="008B583A">
        <w:t xml:space="preserve">Is the indicator or its </w:t>
      </w:r>
      <w:r w:rsidR="003140B0">
        <w:t xml:space="preserve">data </w:t>
      </w:r>
      <w:r w:rsidR="00E27070">
        <w:t>indicative of</w:t>
      </w:r>
      <w:r w:rsidR="003140B0">
        <w:t xml:space="preserve"> the environmental sustainability of agriculture</w:t>
      </w:r>
      <w:r w:rsidR="00926848">
        <w:t xml:space="preserve"> with respect to the theme being considered</w:t>
      </w:r>
      <w:r w:rsidR="003140B0">
        <w:t xml:space="preserve">?  </w:t>
      </w:r>
      <w:r w:rsidR="00926848">
        <w:t>In other words, is it</w:t>
      </w:r>
      <w:r w:rsidR="003140B0">
        <w:t xml:space="preserve"> a good “proxy” for reality?</w:t>
      </w:r>
    </w:p>
    <w:p w14:paraId="65CEAA39" w14:textId="77777777" w:rsidR="00C83AAC" w:rsidRPr="00C83AAC" w:rsidRDefault="00C83AAC" w:rsidP="00002B05">
      <w:pPr>
        <w:pStyle w:val="Listeafsnit"/>
        <w:numPr>
          <w:ilvl w:val="0"/>
          <w:numId w:val="1"/>
        </w:numPr>
        <w:spacing w:after="120" w:line="240" w:lineRule="auto"/>
        <w:contextualSpacing w:val="0"/>
      </w:pPr>
      <w:r w:rsidRPr="003140B0">
        <w:rPr>
          <w:b/>
          <w:i/>
        </w:rPr>
        <w:t>Relevant</w:t>
      </w:r>
      <w:r w:rsidR="003140B0" w:rsidRPr="003140B0">
        <w:rPr>
          <w:b/>
          <w:i/>
        </w:rPr>
        <w:t>:</w:t>
      </w:r>
      <w:r w:rsidR="008B583A">
        <w:t xml:space="preserve">  Is the indicator or its</w:t>
      </w:r>
      <w:r w:rsidR="003140B0">
        <w:t xml:space="preserve"> data highly pertinent to policy decisions involving environmental sustainability </w:t>
      </w:r>
      <w:r w:rsidR="00E27070">
        <w:t>of</w:t>
      </w:r>
      <w:r w:rsidR="003140B0">
        <w:t xml:space="preserve"> agriculture?</w:t>
      </w:r>
    </w:p>
    <w:p w14:paraId="446548A3" w14:textId="273B8651" w:rsidR="00C83AAC" w:rsidRDefault="00C83AAC" w:rsidP="00002B05">
      <w:pPr>
        <w:pStyle w:val="Listeafsnit"/>
        <w:numPr>
          <w:ilvl w:val="0"/>
          <w:numId w:val="1"/>
        </w:numPr>
        <w:spacing w:after="0" w:line="240" w:lineRule="auto"/>
        <w:contextualSpacing w:val="0"/>
      </w:pPr>
      <w:r w:rsidRPr="003140B0">
        <w:rPr>
          <w:b/>
          <w:i/>
        </w:rPr>
        <w:t>Differentiating</w:t>
      </w:r>
      <w:r w:rsidR="003140B0" w:rsidRPr="003140B0">
        <w:rPr>
          <w:b/>
          <w:i/>
        </w:rPr>
        <w:t xml:space="preserve">: </w:t>
      </w:r>
      <w:r w:rsidR="008B583A">
        <w:t xml:space="preserve"> Is the indicator or</w:t>
      </w:r>
      <w:r w:rsidR="003140B0">
        <w:t xml:space="preserve"> </w:t>
      </w:r>
      <w:r w:rsidR="008B583A">
        <w:t>its</w:t>
      </w:r>
      <w:r w:rsidR="003140B0">
        <w:t xml:space="preserve"> data specific enough to </w:t>
      </w:r>
      <w:r w:rsidR="00926848">
        <w:t>result in</w:t>
      </w:r>
      <w:r w:rsidR="003140B0">
        <w:t xml:space="preserve"> variability between countries and thereby to differentiate between actors?</w:t>
      </w:r>
    </w:p>
    <w:p w14:paraId="7CA07FAF" w14:textId="77777777" w:rsidR="00C83AAC" w:rsidRDefault="00C83AAC" w:rsidP="00002B05">
      <w:pPr>
        <w:spacing w:after="0" w:line="240" w:lineRule="auto"/>
      </w:pPr>
    </w:p>
    <w:p w14:paraId="344F610C" w14:textId="20FB1387" w:rsidR="003140B0" w:rsidRDefault="003140B0" w:rsidP="00002B05">
      <w:pPr>
        <w:spacing w:after="0" w:line="240" w:lineRule="auto"/>
      </w:pPr>
      <w:r>
        <w:t xml:space="preserve">To assess how well a candidate indicator meets one of these criteria, we </w:t>
      </w:r>
      <w:r w:rsidR="00D655AF">
        <w:t>developed</w:t>
      </w:r>
      <w:r w:rsidR="006C04DB">
        <w:t xml:space="preserve"> </w:t>
      </w:r>
      <w:r>
        <w:t xml:space="preserve">a simple </w:t>
      </w:r>
      <w:r w:rsidR="00B569F5">
        <w:t xml:space="preserve">three-part </w:t>
      </w:r>
      <w:r>
        <w:t xml:space="preserve">scale of “high, medium, low” or “green, yellow, red”, respectively.  </w:t>
      </w:r>
      <w:r w:rsidRPr="00F558DC">
        <w:rPr>
          <w:color w:val="000099"/>
        </w:rPr>
        <w:t xml:space="preserve">Table </w:t>
      </w:r>
      <w:r w:rsidR="00F558DC" w:rsidRPr="00F558DC">
        <w:rPr>
          <w:color w:val="000099"/>
        </w:rPr>
        <w:t>4</w:t>
      </w:r>
      <w:r>
        <w:t xml:space="preserve"> summarizes the definitions of high, medium, and low for each of these criteria.</w:t>
      </w:r>
    </w:p>
    <w:p w14:paraId="644AE897" w14:textId="77777777" w:rsidR="00B70B62" w:rsidRDefault="00B70B62" w:rsidP="00C83AAC">
      <w:pPr>
        <w:spacing w:after="0" w:line="240" w:lineRule="auto"/>
      </w:pPr>
    </w:p>
    <w:p w14:paraId="28C9E3E4" w14:textId="77777777" w:rsidR="00002B05" w:rsidRDefault="00002B05">
      <w:r>
        <w:br w:type="page"/>
      </w:r>
    </w:p>
    <w:p w14:paraId="64385F0B" w14:textId="77777777" w:rsidR="00002B05" w:rsidRDefault="00002B05" w:rsidP="00C83AAC">
      <w:pPr>
        <w:spacing w:after="0" w:line="240" w:lineRule="auto"/>
        <w:sectPr w:rsidR="00002B05">
          <w:endnotePr>
            <w:numFmt w:val="decimal"/>
          </w:endnotePr>
          <w:pgSz w:w="12240" w:h="15840"/>
          <w:pgMar w:top="1440" w:right="1440" w:bottom="1440" w:left="1440" w:header="720" w:footer="720" w:gutter="0"/>
          <w:cols w:space="720"/>
          <w:docGrid w:linePitch="360"/>
        </w:sectPr>
      </w:pPr>
    </w:p>
    <w:p w14:paraId="61A31232" w14:textId="496D2739" w:rsidR="00002B05" w:rsidRDefault="00002B05" w:rsidP="00002B05">
      <w:pPr>
        <w:spacing w:after="0" w:line="240" w:lineRule="auto"/>
        <w:rPr>
          <w:b/>
        </w:rPr>
      </w:pPr>
      <w:r w:rsidRPr="00B70B62">
        <w:rPr>
          <w:b/>
        </w:rPr>
        <w:lastRenderedPageBreak/>
        <w:t xml:space="preserve">Table </w:t>
      </w:r>
      <w:r w:rsidR="00F558DC">
        <w:rPr>
          <w:b/>
        </w:rPr>
        <w:t>4</w:t>
      </w:r>
      <w:r w:rsidR="00D051D3">
        <w:rPr>
          <w:b/>
        </w:rPr>
        <w:t xml:space="preserve">.  Screening criteria </w:t>
      </w:r>
      <w:r w:rsidR="00676E9B">
        <w:rPr>
          <w:b/>
        </w:rPr>
        <w:t>and rating</w:t>
      </w:r>
    </w:p>
    <w:p w14:paraId="47FDE2E7" w14:textId="77777777" w:rsidR="002C2833" w:rsidRPr="00B70B62" w:rsidRDefault="002C2833" w:rsidP="00002B05">
      <w:pPr>
        <w:spacing w:after="0" w:line="240" w:lineRule="auto"/>
        <w:rPr>
          <w:b/>
        </w:rPr>
      </w:pPr>
    </w:p>
    <w:tbl>
      <w:tblPr>
        <w:tblW w:w="13425" w:type="dxa"/>
        <w:tblCellMar>
          <w:left w:w="0" w:type="dxa"/>
          <w:right w:w="0" w:type="dxa"/>
        </w:tblCellMar>
        <w:tblLook w:val="0600" w:firstRow="0" w:lastRow="0" w:firstColumn="0" w:lastColumn="0" w:noHBand="1" w:noVBand="1"/>
      </w:tblPr>
      <w:tblGrid>
        <w:gridCol w:w="1440"/>
        <w:gridCol w:w="3920"/>
        <w:gridCol w:w="4120"/>
        <w:gridCol w:w="3945"/>
      </w:tblGrid>
      <w:tr w:rsidR="00002B05" w:rsidRPr="00B70B62" w14:paraId="261E78B3" w14:textId="77777777" w:rsidTr="00F20A98">
        <w:trPr>
          <w:trHeight w:val="245"/>
        </w:trPr>
        <w:tc>
          <w:tcPr>
            <w:tcW w:w="1440" w:type="dxa"/>
            <w:tcBorders>
              <w:top w:val="single" w:sz="4" w:space="0" w:color="000000"/>
              <w:left w:val="single" w:sz="4" w:space="0" w:color="000000"/>
              <w:bottom w:val="dotted" w:sz="4" w:space="0" w:color="000000"/>
              <w:right w:val="dotted" w:sz="4" w:space="0" w:color="000000"/>
            </w:tcBorders>
            <w:shd w:val="clear" w:color="auto" w:fill="auto"/>
            <w:tcMar>
              <w:top w:w="15" w:type="dxa"/>
              <w:left w:w="15" w:type="dxa"/>
              <w:bottom w:w="0" w:type="dxa"/>
              <w:right w:w="15" w:type="dxa"/>
            </w:tcMar>
          </w:tcPr>
          <w:p w14:paraId="71F6907B" w14:textId="77777777" w:rsidR="00002B05" w:rsidRPr="00B70B62" w:rsidRDefault="00002B05" w:rsidP="00F20A98">
            <w:pPr>
              <w:spacing w:after="0" w:line="240" w:lineRule="auto"/>
              <w:rPr>
                <w:b/>
                <w:bCs/>
              </w:rPr>
            </w:pPr>
            <w:r w:rsidRPr="00B70B62">
              <w:rPr>
                <w:b/>
                <w:bCs/>
              </w:rPr>
              <w:t>Criterion</w:t>
            </w:r>
          </w:p>
        </w:tc>
        <w:tc>
          <w:tcPr>
            <w:tcW w:w="3920" w:type="dxa"/>
            <w:tcBorders>
              <w:top w:val="single" w:sz="4" w:space="0" w:color="000000"/>
              <w:left w:val="dotted" w:sz="4" w:space="0" w:color="000000"/>
              <w:bottom w:val="dotted" w:sz="4" w:space="0" w:color="000000"/>
              <w:right w:val="dotted" w:sz="4" w:space="0" w:color="000000"/>
            </w:tcBorders>
            <w:shd w:val="clear" w:color="auto" w:fill="008000"/>
            <w:tcMar>
              <w:top w:w="15" w:type="dxa"/>
              <w:left w:w="15" w:type="dxa"/>
              <w:bottom w:w="0" w:type="dxa"/>
              <w:right w:w="15" w:type="dxa"/>
            </w:tcMar>
          </w:tcPr>
          <w:p w14:paraId="1B11B359" w14:textId="77777777" w:rsidR="00002B05" w:rsidRPr="00AA4B95" w:rsidRDefault="00002B05" w:rsidP="00F20A98">
            <w:pPr>
              <w:spacing w:after="0" w:line="240" w:lineRule="auto"/>
              <w:jc w:val="center"/>
              <w:rPr>
                <w:b/>
              </w:rPr>
            </w:pPr>
            <w:r w:rsidRPr="00AA4B95">
              <w:rPr>
                <w:b/>
              </w:rPr>
              <w:t>High</w:t>
            </w:r>
          </w:p>
        </w:tc>
        <w:tc>
          <w:tcPr>
            <w:tcW w:w="4120" w:type="dxa"/>
            <w:tcBorders>
              <w:top w:val="single" w:sz="4" w:space="0" w:color="000000"/>
              <w:left w:val="dotted" w:sz="4" w:space="0" w:color="000000"/>
              <w:bottom w:val="dotted" w:sz="4" w:space="0" w:color="000000"/>
              <w:right w:val="dotted" w:sz="4" w:space="0" w:color="000000"/>
            </w:tcBorders>
            <w:shd w:val="clear" w:color="auto" w:fill="FFFF00"/>
            <w:tcMar>
              <w:top w:w="15" w:type="dxa"/>
              <w:left w:w="15" w:type="dxa"/>
              <w:bottom w:w="0" w:type="dxa"/>
              <w:right w:w="15" w:type="dxa"/>
            </w:tcMar>
          </w:tcPr>
          <w:p w14:paraId="111A3022" w14:textId="77777777" w:rsidR="00002B05" w:rsidRPr="00B70B62" w:rsidRDefault="00002B05" w:rsidP="00F20A98">
            <w:pPr>
              <w:spacing w:after="0" w:line="240" w:lineRule="auto"/>
              <w:jc w:val="center"/>
              <w:rPr>
                <w:b/>
              </w:rPr>
            </w:pPr>
            <w:r w:rsidRPr="00B70B62">
              <w:rPr>
                <w:b/>
              </w:rPr>
              <w:t>Medium</w:t>
            </w:r>
          </w:p>
        </w:tc>
        <w:tc>
          <w:tcPr>
            <w:tcW w:w="3945" w:type="dxa"/>
            <w:tcBorders>
              <w:top w:val="single" w:sz="4" w:space="0" w:color="000000"/>
              <w:left w:val="dotted" w:sz="4" w:space="0" w:color="000000"/>
              <w:bottom w:val="dotted" w:sz="4" w:space="0" w:color="000000"/>
              <w:right w:val="single" w:sz="4" w:space="0" w:color="000000"/>
            </w:tcBorders>
            <w:shd w:val="clear" w:color="auto" w:fill="CC0000"/>
            <w:tcMar>
              <w:top w:w="15" w:type="dxa"/>
              <w:left w:w="15" w:type="dxa"/>
              <w:bottom w:w="0" w:type="dxa"/>
              <w:right w:w="15" w:type="dxa"/>
            </w:tcMar>
          </w:tcPr>
          <w:p w14:paraId="34B530D0" w14:textId="77777777" w:rsidR="00002B05" w:rsidRPr="00AA4B95" w:rsidRDefault="00002B05" w:rsidP="00F20A98">
            <w:pPr>
              <w:spacing w:after="0" w:line="240" w:lineRule="auto"/>
              <w:jc w:val="center"/>
              <w:rPr>
                <w:b/>
              </w:rPr>
            </w:pPr>
            <w:r w:rsidRPr="00AA4B95">
              <w:rPr>
                <w:b/>
              </w:rPr>
              <w:t>Low</w:t>
            </w:r>
          </w:p>
        </w:tc>
      </w:tr>
      <w:tr w:rsidR="00002B05" w:rsidRPr="00B70B62" w14:paraId="6190864D" w14:textId="77777777" w:rsidTr="00F20A98">
        <w:trPr>
          <w:trHeight w:val="947"/>
        </w:trPr>
        <w:tc>
          <w:tcPr>
            <w:tcW w:w="1440" w:type="dxa"/>
            <w:tcBorders>
              <w:top w:val="single" w:sz="4" w:space="0" w:color="000000"/>
              <w:left w:val="single" w:sz="4" w:space="0" w:color="000000"/>
              <w:bottom w:val="dotted" w:sz="4" w:space="0" w:color="000000"/>
              <w:right w:val="dotted" w:sz="4" w:space="0" w:color="000000"/>
            </w:tcBorders>
            <w:shd w:val="clear" w:color="auto" w:fill="auto"/>
            <w:tcMar>
              <w:top w:w="15" w:type="dxa"/>
              <w:left w:w="15" w:type="dxa"/>
              <w:bottom w:w="0" w:type="dxa"/>
              <w:right w:w="15" w:type="dxa"/>
            </w:tcMar>
            <w:hideMark/>
          </w:tcPr>
          <w:p w14:paraId="7A093C65" w14:textId="77777777" w:rsidR="00002B05" w:rsidRPr="00DC7C14" w:rsidRDefault="00002B05" w:rsidP="00F20A98">
            <w:pPr>
              <w:spacing w:after="0" w:line="240" w:lineRule="auto"/>
              <w:rPr>
                <w:b/>
              </w:rPr>
            </w:pPr>
            <w:r w:rsidRPr="00DC7C14">
              <w:rPr>
                <w:b/>
                <w:bCs/>
              </w:rPr>
              <w:t>Available</w:t>
            </w:r>
          </w:p>
        </w:tc>
        <w:tc>
          <w:tcPr>
            <w:tcW w:w="3920" w:type="dxa"/>
            <w:tcBorders>
              <w:top w:val="single" w:sz="4" w:space="0" w:color="000000"/>
              <w:left w:val="dotted" w:sz="4" w:space="0" w:color="000000"/>
              <w:bottom w:val="dotted" w:sz="4" w:space="0" w:color="000000"/>
              <w:right w:val="dotted" w:sz="4" w:space="0" w:color="000000"/>
            </w:tcBorders>
            <w:shd w:val="clear" w:color="auto" w:fill="008000"/>
            <w:tcMar>
              <w:top w:w="15" w:type="dxa"/>
              <w:left w:w="15" w:type="dxa"/>
              <w:bottom w:w="0" w:type="dxa"/>
              <w:right w:w="15" w:type="dxa"/>
            </w:tcMar>
            <w:hideMark/>
          </w:tcPr>
          <w:p w14:paraId="4F5EF8EF" w14:textId="77777777" w:rsidR="00002B05" w:rsidRPr="00AA4B95" w:rsidRDefault="00002B05" w:rsidP="00F20A98">
            <w:pPr>
              <w:spacing w:after="0" w:line="240" w:lineRule="auto"/>
            </w:pPr>
            <w:r w:rsidRPr="00AA4B95">
              <w:t>Data are currently available for most countries globally.</w:t>
            </w:r>
          </w:p>
        </w:tc>
        <w:tc>
          <w:tcPr>
            <w:tcW w:w="4120" w:type="dxa"/>
            <w:tcBorders>
              <w:top w:val="single" w:sz="4" w:space="0" w:color="000000"/>
              <w:left w:val="dotted" w:sz="4" w:space="0" w:color="000000"/>
              <w:bottom w:val="dotted" w:sz="4" w:space="0" w:color="000000"/>
              <w:right w:val="dotted" w:sz="4" w:space="0" w:color="000000"/>
            </w:tcBorders>
            <w:shd w:val="clear" w:color="auto" w:fill="FFFF00"/>
            <w:tcMar>
              <w:top w:w="15" w:type="dxa"/>
              <w:left w:w="15" w:type="dxa"/>
              <w:bottom w:w="0" w:type="dxa"/>
              <w:right w:w="15" w:type="dxa"/>
            </w:tcMar>
            <w:hideMark/>
          </w:tcPr>
          <w:p w14:paraId="0980C79D" w14:textId="77777777" w:rsidR="00002B05" w:rsidRDefault="00002B05" w:rsidP="00F20A98">
            <w:pPr>
              <w:spacing w:after="0" w:line="240" w:lineRule="auto"/>
            </w:pPr>
            <w:r w:rsidRPr="00B70B62">
              <w:t xml:space="preserve">Data are currently available for some countries, but collection would be required for </w:t>
            </w:r>
            <w:r>
              <w:t>other</w:t>
            </w:r>
            <w:r w:rsidRPr="00B70B62">
              <w:t xml:space="preserve"> countries.</w:t>
            </w:r>
          </w:p>
          <w:p w14:paraId="2C767CE5" w14:textId="77777777" w:rsidR="00002B05" w:rsidRPr="00B70B62" w:rsidRDefault="00002B05" w:rsidP="00F20A98">
            <w:pPr>
              <w:spacing w:after="0" w:line="240" w:lineRule="auto"/>
            </w:pPr>
          </w:p>
        </w:tc>
        <w:tc>
          <w:tcPr>
            <w:tcW w:w="3945" w:type="dxa"/>
            <w:tcBorders>
              <w:top w:val="single" w:sz="4" w:space="0" w:color="000000"/>
              <w:left w:val="dotted" w:sz="4" w:space="0" w:color="000000"/>
              <w:bottom w:val="dotted" w:sz="4" w:space="0" w:color="000000"/>
              <w:right w:val="single" w:sz="4" w:space="0" w:color="000000"/>
            </w:tcBorders>
            <w:shd w:val="clear" w:color="auto" w:fill="CC0000"/>
            <w:tcMar>
              <w:top w:w="15" w:type="dxa"/>
              <w:left w:w="15" w:type="dxa"/>
              <w:bottom w:w="0" w:type="dxa"/>
              <w:right w:w="15" w:type="dxa"/>
            </w:tcMar>
            <w:hideMark/>
          </w:tcPr>
          <w:p w14:paraId="58A23322" w14:textId="77777777" w:rsidR="00002B05" w:rsidRPr="00AA4B95" w:rsidRDefault="00002B05" w:rsidP="00F20A98">
            <w:pPr>
              <w:spacing w:after="0" w:line="240" w:lineRule="auto"/>
            </w:pPr>
            <w:r w:rsidRPr="00AA4B95">
              <w:t>Data are not currently available anywhere and would require new collection.</w:t>
            </w:r>
          </w:p>
        </w:tc>
      </w:tr>
      <w:tr w:rsidR="00002B05" w:rsidRPr="00B70B62" w14:paraId="1909AC36" w14:textId="77777777" w:rsidTr="00F20A98">
        <w:trPr>
          <w:trHeight w:val="834"/>
        </w:trPr>
        <w:tc>
          <w:tcPr>
            <w:tcW w:w="1440" w:type="dxa"/>
            <w:tcBorders>
              <w:top w:val="dotted" w:sz="4" w:space="0" w:color="000000"/>
              <w:left w:val="single" w:sz="4" w:space="0" w:color="000000"/>
              <w:bottom w:val="dotted" w:sz="4" w:space="0" w:color="000000"/>
              <w:right w:val="dotted" w:sz="4" w:space="0" w:color="000000"/>
            </w:tcBorders>
            <w:shd w:val="clear" w:color="auto" w:fill="auto"/>
            <w:tcMar>
              <w:top w:w="15" w:type="dxa"/>
              <w:left w:w="15" w:type="dxa"/>
              <w:bottom w:w="0" w:type="dxa"/>
              <w:right w:w="15" w:type="dxa"/>
            </w:tcMar>
            <w:hideMark/>
          </w:tcPr>
          <w:p w14:paraId="007D27D8" w14:textId="77777777" w:rsidR="00002B05" w:rsidRPr="00DC7C14" w:rsidRDefault="00002B05" w:rsidP="00F20A98">
            <w:pPr>
              <w:spacing w:after="0" w:line="240" w:lineRule="auto"/>
              <w:rPr>
                <w:b/>
              </w:rPr>
            </w:pPr>
            <w:r w:rsidRPr="00DC7C14">
              <w:rPr>
                <w:b/>
                <w:bCs/>
              </w:rPr>
              <w:t>Accurate</w:t>
            </w:r>
          </w:p>
        </w:tc>
        <w:tc>
          <w:tcPr>
            <w:tcW w:w="3920" w:type="dxa"/>
            <w:tcBorders>
              <w:top w:val="dotted" w:sz="4" w:space="0" w:color="000000"/>
              <w:left w:val="dotted" w:sz="4" w:space="0" w:color="000000"/>
              <w:bottom w:val="dotted" w:sz="4" w:space="0" w:color="000000"/>
              <w:right w:val="dotted" w:sz="4" w:space="0" w:color="000000"/>
            </w:tcBorders>
            <w:shd w:val="clear" w:color="auto" w:fill="008000"/>
            <w:tcMar>
              <w:top w:w="15" w:type="dxa"/>
              <w:left w:w="15" w:type="dxa"/>
              <w:bottom w:w="0" w:type="dxa"/>
              <w:right w:w="15" w:type="dxa"/>
            </w:tcMar>
            <w:hideMark/>
          </w:tcPr>
          <w:p w14:paraId="5C6E4436" w14:textId="77777777" w:rsidR="00002B05" w:rsidRPr="00AA4B95" w:rsidRDefault="00002B05" w:rsidP="00F20A98">
            <w:pPr>
              <w:spacing w:after="0" w:line="240" w:lineRule="auto"/>
            </w:pPr>
            <w:r w:rsidRPr="00AA4B95">
              <w:t>Data are accurate, reliable, and representative of reality.</w:t>
            </w:r>
          </w:p>
        </w:tc>
        <w:tc>
          <w:tcPr>
            <w:tcW w:w="4120" w:type="dxa"/>
            <w:tcBorders>
              <w:top w:val="dotted" w:sz="4" w:space="0" w:color="000000"/>
              <w:left w:val="dotted" w:sz="4" w:space="0" w:color="000000"/>
              <w:bottom w:val="dotted" w:sz="4" w:space="0" w:color="000000"/>
              <w:right w:val="dotted" w:sz="4" w:space="0" w:color="000000"/>
            </w:tcBorders>
            <w:shd w:val="clear" w:color="auto" w:fill="FFFF00"/>
            <w:tcMar>
              <w:top w:w="15" w:type="dxa"/>
              <w:left w:w="15" w:type="dxa"/>
              <w:bottom w:w="0" w:type="dxa"/>
              <w:right w:w="15" w:type="dxa"/>
            </w:tcMar>
            <w:hideMark/>
          </w:tcPr>
          <w:p w14:paraId="0D3BB50C" w14:textId="77777777" w:rsidR="00002B05" w:rsidRPr="00B70B62" w:rsidRDefault="00002B05" w:rsidP="00F20A98">
            <w:pPr>
              <w:spacing w:after="0" w:line="240" w:lineRule="auto"/>
            </w:pPr>
            <w:r>
              <w:t>The accuracy, reliability</w:t>
            </w:r>
            <w:r w:rsidRPr="00B70B62">
              <w:t>, and/or representativeness of the data are unclear.</w:t>
            </w:r>
          </w:p>
        </w:tc>
        <w:tc>
          <w:tcPr>
            <w:tcW w:w="3945" w:type="dxa"/>
            <w:tcBorders>
              <w:top w:val="dotted" w:sz="4" w:space="0" w:color="000000"/>
              <w:left w:val="dotted" w:sz="4" w:space="0" w:color="000000"/>
              <w:bottom w:val="dotted" w:sz="4" w:space="0" w:color="000000"/>
              <w:right w:val="single" w:sz="4" w:space="0" w:color="000000"/>
            </w:tcBorders>
            <w:shd w:val="clear" w:color="auto" w:fill="CC0000"/>
            <w:tcMar>
              <w:top w:w="15" w:type="dxa"/>
              <w:left w:w="15" w:type="dxa"/>
              <w:bottom w:w="0" w:type="dxa"/>
              <w:right w:w="15" w:type="dxa"/>
            </w:tcMar>
            <w:hideMark/>
          </w:tcPr>
          <w:p w14:paraId="469D3BBD" w14:textId="7E4461DE" w:rsidR="00002B05" w:rsidRPr="00AA4B95" w:rsidRDefault="00926848" w:rsidP="00926848">
            <w:pPr>
              <w:spacing w:after="0" w:line="240" w:lineRule="auto"/>
            </w:pPr>
            <w:r>
              <w:t>T</w:t>
            </w:r>
            <w:r w:rsidR="00002B05" w:rsidRPr="00AA4B95">
              <w:t>he existing data are inaccurate</w:t>
            </w:r>
            <w:r>
              <w:t>, unreliable,</w:t>
            </w:r>
            <w:r w:rsidR="00002B05" w:rsidRPr="00AA4B95">
              <w:t xml:space="preserve"> and/or </w:t>
            </w:r>
            <w:r>
              <w:t>unrepresentative of reality</w:t>
            </w:r>
            <w:r w:rsidR="00002B05" w:rsidRPr="00AA4B95">
              <w:t>.</w:t>
            </w:r>
          </w:p>
        </w:tc>
      </w:tr>
      <w:tr w:rsidR="00002B05" w:rsidRPr="00B70B62" w14:paraId="10B5BCEB" w14:textId="77777777" w:rsidTr="00F20A98">
        <w:trPr>
          <w:trHeight w:val="992"/>
        </w:trPr>
        <w:tc>
          <w:tcPr>
            <w:tcW w:w="1440" w:type="dxa"/>
            <w:tcBorders>
              <w:top w:val="dotted" w:sz="4" w:space="0" w:color="000000"/>
              <w:left w:val="single" w:sz="4" w:space="0" w:color="000000"/>
              <w:bottom w:val="dotted" w:sz="4" w:space="0" w:color="000000"/>
              <w:right w:val="dotted" w:sz="4" w:space="0" w:color="000000"/>
            </w:tcBorders>
            <w:shd w:val="clear" w:color="auto" w:fill="auto"/>
            <w:tcMar>
              <w:top w:w="15" w:type="dxa"/>
              <w:left w:w="15" w:type="dxa"/>
              <w:bottom w:w="0" w:type="dxa"/>
              <w:right w:w="15" w:type="dxa"/>
            </w:tcMar>
            <w:hideMark/>
          </w:tcPr>
          <w:p w14:paraId="23205256" w14:textId="77777777" w:rsidR="00002B05" w:rsidRPr="00DC7C14" w:rsidRDefault="00002B05" w:rsidP="00F20A98">
            <w:pPr>
              <w:spacing w:after="0" w:line="240" w:lineRule="auto"/>
              <w:rPr>
                <w:b/>
              </w:rPr>
            </w:pPr>
            <w:r w:rsidRPr="00DC7C14">
              <w:rPr>
                <w:b/>
                <w:bCs/>
              </w:rPr>
              <w:t>Consistent</w:t>
            </w:r>
          </w:p>
        </w:tc>
        <w:tc>
          <w:tcPr>
            <w:tcW w:w="3920" w:type="dxa"/>
            <w:tcBorders>
              <w:top w:val="dotted" w:sz="4" w:space="0" w:color="000000"/>
              <w:left w:val="dotted" w:sz="4" w:space="0" w:color="000000"/>
              <w:bottom w:val="dotted" w:sz="4" w:space="0" w:color="000000"/>
              <w:right w:val="dotted" w:sz="4" w:space="0" w:color="000000"/>
            </w:tcBorders>
            <w:shd w:val="clear" w:color="auto" w:fill="008000"/>
            <w:tcMar>
              <w:top w:w="15" w:type="dxa"/>
              <w:left w:w="15" w:type="dxa"/>
              <w:bottom w:w="0" w:type="dxa"/>
              <w:right w:w="15" w:type="dxa"/>
            </w:tcMar>
            <w:hideMark/>
          </w:tcPr>
          <w:p w14:paraId="2A0361FE" w14:textId="77777777" w:rsidR="00002B05" w:rsidRPr="00AA4B95" w:rsidRDefault="00002B05" w:rsidP="00F20A98">
            <w:pPr>
              <w:spacing w:after="0" w:line="240" w:lineRule="auto"/>
            </w:pPr>
            <w:r w:rsidRPr="00AA4B95">
              <w:t>Data collection methods are consistent across countries and the data are comparable across all countries.</w:t>
            </w:r>
          </w:p>
          <w:p w14:paraId="5ED32251" w14:textId="77777777" w:rsidR="00002B05" w:rsidRPr="00AA4B95" w:rsidRDefault="00002B05" w:rsidP="00F20A98">
            <w:pPr>
              <w:spacing w:after="0" w:line="240" w:lineRule="auto"/>
            </w:pPr>
          </w:p>
        </w:tc>
        <w:tc>
          <w:tcPr>
            <w:tcW w:w="4120" w:type="dxa"/>
            <w:tcBorders>
              <w:top w:val="dotted" w:sz="4" w:space="0" w:color="000000"/>
              <w:left w:val="dotted" w:sz="4" w:space="0" w:color="000000"/>
              <w:bottom w:val="dotted" w:sz="4" w:space="0" w:color="000000"/>
              <w:right w:val="dotted" w:sz="4" w:space="0" w:color="000000"/>
            </w:tcBorders>
            <w:shd w:val="clear" w:color="auto" w:fill="FFFF00"/>
            <w:tcMar>
              <w:top w:w="15" w:type="dxa"/>
              <w:left w:w="15" w:type="dxa"/>
              <w:bottom w:w="0" w:type="dxa"/>
              <w:right w:w="15" w:type="dxa"/>
            </w:tcMar>
            <w:hideMark/>
          </w:tcPr>
          <w:p w14:paraId="64D85D7B" w14:textId="77777777" w:rsidR="00002B05" w:rsidRDefault="00002B05" w:rsidP="00F20A98">
            <w:pPr>
              <w:spacing w:after="0" w:line="240" w:lineRule="auto"/>
            </w:pPr>
            <w:r>
              <w:t>Data collection methods</w:t>
            </w:r>
            <w:r w:rsidRPr="00B70B62">
              <w:t xml:space="preserve"> may not be </w:t>
            </w:r>
            <w:r>
              <w:t xml:space="preserve">consistent and/or data may not be comparable across all countries.  </w:t>
            </w:r>
          </w:p>
          <w:p w14:paraId="5B8732A4" w14:textId="77777777" w:rsidR="00002B05" w:rsidRPr="00B70B62" w:rsidRDefault="00002B05" w:rsidP="00F20A98">
            <w:pPr>
              <w:spacing w:after="0" w:line="240" w:lineRule="auto"/>
            </w:pPr>
          </w:p>
        </w:tc>
        <w:tc>
          <w:tcPr>
            <w:tcW w:w="3945" w:type="dxa"/>
            <w:tcBorders>
              <w:top w:val="dotted" w:sz="4" w:space="0" w:color="000000"/>
              <w:left w:val="dotted" w:sz="4" w:space="0" w:color="000000"/>
              <w:bottom w:val="dotted" w:sz="4" w:space="0" w:color="000000"/>
              <w:right w:val="single" w:sz="4" w:space="0" w:color="000000"/>
            </w:tcBorders>
            <w:shd w:val="clear" w:color="auto" w:fill="CC0000"/>
            <w:tcMar>
              <w:top w:w="15" w:type="dxa"/>
              <w:left w:w="15" w:type="dxa"/>
              <w:bottom w:w="0" w:type="dxa"/>
              <w:right w:w="15" w:type="dxa"/>
            </w:tcMar>
            <w:hideMark/>
          </w:tcPr>
          <w:p w14:paraId="6CAE9A30" w14:textId="77777777" w:rsidR="00002B05" w:rsidRPr="00AA4B95" w:rsidRDefault="00002B05" w:rsidP="00F20A98">
            <w:pPr>
              <w:spacing w:after="0" w:line="240" w:lineRule="auto"/>
            </w:pPr>
            <w:r w:rsidRPr="00AA4B95">
              <w:t>Data collection methods are inconsistent and/or data is not comparable across countries (i.e., variation in time scales, baselines, definitions).</w:t>
            </w:r>
          </w:p>
          <w:p w14:paraId="015E10C3" w14:textId="77777777" w:rsidR="00002B05" w:rsidRPr="00AA4B95" w:rsidRDefault="00002B05" w:rsidP="00F20A98">
            <w:pPr>
              <w:spacing w:after="0" w:line="240" w:lineRule="auto"/>
            </w:pPr>
          </w:p>
        </w:tc>
      </w:tr>
      <w:tr w:rsidR="00002B05" w:rsidRPr="00B70B62" w14:paraId="2AC1D079" w14:textId="77777777" w:rsidTr="00F20A98">
        <w:trPr>
          <w:trHeight w:val="1037"/>
        </w:trPr>
        <w:tc>
          <w:tcPr>
            <w:tcW w:w="1440" w:type="dxa"/>
            <w:tcBorders>
              <w:top w:val="dotted" w:sz="4" w:space="0" w:color="000000"/>
              <w:left w:val="single" w:sz="4" w:space="0" w:color="000000"/>
              <w:bottom w:val="dotted" w:sz="4" w:space="0" w:color="000000"/>
              <w:right w:val="dotted" w:sz="4" w:space="0" w:color="000000"/>
            </w:tcBorders>
            <w:shd w:val="clear" w:color="auto" w:fill="auto"/>
            <w:tcMar>
              <w:top w:w="15" w:type="dxa"/>
              <w:left w:w="15" w:type="dxa"/>
              <w:bottom w:w="0" w:type="dxa"/>
              <w:right w:w="15" w:type="dxa"/>
            </w:tcMar>
            <w:hideMark/>
          </w:tcPr>
          <w:p w14:paraId="271D4011" w14:textId="77777777" w:rsidR="00002B05" w:rsidRPr="00DC7C14" w:rsidRDefault="00002B05" w:rsidP="00F20A98">
            <w:pPr>
              <w:spacing w:after="0" w:line="240" w:lineRule="auto"/>
              <w:rPr>
                <w:b/>
              </w:rPr>
            </w:pPr>
            <w:r w:rsidRPr="00DC7C14">
              <w:rPr>
                <w:b/>
                <w:bCs/>
              </w:rPr>
              <w:t>Frequent</w:t>
            </w:r>
          </w:p>
        </w:tc>
        <w:tc>
          <w:tcPr>
            <w:tcW w:w="3920" w:type="dxa"/>
            <w:tcBorders>
              <w:top w:val="dotted" w:sz="4" w:space="0" w:color="000000"/>
              <w:left w:val="dotted" w:sz="4" w:space="0" w:color="000000"/>
              <w:bottom w:val="dotted" w:sz="4" w:space="0" w:color="000000"/>
              <w:right w:val="dotted" w:sz="4" w:space="0" w:color="000000"/>
            </w:tcBorders>
            <w:shd w:val="clear" w:color="auto" w:fill="008000"/>
            <w:tcMar>
              <w:top w:w="15" w:type="dxa"/>
              <w:left w:w="15" w:type="dxa"/>
              <w:bottom w:w="0" w:type="dxa"/>
              <w:right w:w="15" w:type="dxa"/>
            </w:tcMar>
            <w:hideMark/>
          </w:tcPr>
          <w:p w14:paraId="282F901A" w14:textId="77777777" w:rsidR="00002B05" w:rsidRPr="00AA4B95" w:rsidRDefault="00002B05" w:rsidP="00F20A98">
            <w:pPr>
              <w:spacing w:after="0" w:line="240" w:lineRule="auto"/>
            </w:pPr>
            <w:r w:rsidRPr="00AA4B95">
              <w:t>Data are collected and/or updated on a regular basis and at a frequency such that the data are relatively current.</w:t>
            </w:r>
          </w:p>
          <w:p w14:paraId="43B7EEF4" w14:textId="77777777" w:rsidR="00002B05" w:rsidRPr="00AA4B95" w:rsidRDefault="00002B05" w:rsidP="00F20A98">
            <w:pPr>
              <w:spacing w:after="0" w:line="240" w:lineRule="auto"/>
            </w:pPr>
          </w:p>
        </w:tc>
        <w:tc>
          <w:tcPr>
            <w:tcW w:w="4120" w:type="dxa"/>
            <w:tcBorders>
              <w:top w:val="dotted" w:sz="4" w:space="0" w:color="000000"/>
              <w:left w:val="dotted" w:sz="4" w:space="0" w:color="000000"/>
              <w:bottom w:val="dotted" w:sz="4" w:space="0" w:color="000000"/>
              <w:right w:val="dotted" w:sz="4" w:space="0" w:color="000000"/>
            </w:tcBorders>
            <w:shd w:val="clear" w:color="auto" w:fill="FFFF00"/>
            <w:tcMar>
              <w:top w:w="15" w:type="dxa"/>
              <w:left w:w="15" w:type="dxa"/>
              <w:bottom w:w="0" w:type="dxa"/>
              <w:right w:w="15" w:type="dxa"/>
            </w:tcMar>
            <w:hideMark/>
          </w:tcPr>
          <w:p w14:paraId="0256DD00" w14:textId="7A167262" w:rsidR="00002B05" w:rsidRPr="00B70B62" w:rsidRDefault="00002B05" w:rsidP="00F20A98">
            <w:pPr>
              <w:spacing w:after="0" w:line="240" w:lineRule="auto"/>
            </w:pPr>
            <w:r>
              <w:t xml:space="preserve">Data are collected and/or </w:t>
            </w:r>
            <w:r w:rsidRPr="00B70B62">
              <w:t xml:space="preserve">updated on an irregular basis, but </w:t>
            </w:r>
            <w:r>
              <w:t>might</w:t>
            </w:r>
            <w:r w:rsidRPr="00B70B62">
              <w:t xml:space="preserve"> be </w:t>
            </w:r>
            <w:r w:rsidR="00926848">
              <w:t xml:space="preserve">more regularly </w:t>
            </w:r>
            <w:r w:rsidRPr="00B70B62">
              <w:t>updated in the future.</w:t>
            </w:r>
          </w:p>
        </w:tc>
        <w:tc>
          <w:tcPr>
            <w:tcW w:w="3945" w:type="dxa"/>
            <w:tcBorders>
              <w:top w:val="dotted" w:sz="4" w:space="0" w:color="000000"/>
              <w:left w:val="dotted" w:sz="4" w:space="0" w:color="000000"/>
              <w:bottom w:val="dotted" w:sz="4" w:space="0" w:color="000000"/>
              <w:right w:val="single" w:sz="4" w:space="0" w:color="000000"/>
            </w:tcBorders>
            <w:shd w:val="clear" w:color="auto" w:fill="CC0000"/>
            <w:tcMar>
              <w:top w:w="15" w:type="dxa"/>
              <w:left w:w="15" w:type="dxa"/>
              <w:bottom w:w="0" w:type="dxa"/>
              <w:right w:w="15" w:type="dxa"/>
            </w:tcMar>
            <w:hideMark/>
          </w:tcPr>
          <w:p w14:paraId="5968F668" w14:textId="77777777" w:rsidR="00002B05" w:rsidRPr="00AA4B95" w:rsidRDefault="00002B05" w:rsidP="00F20A98">
            <w:pPr>
              <w:spacing w:after="0" w:line="240" w:lineRule="auto"/>
            </w:pPr>
            <w:r w:rsidRPr="00AA4B95">
              <w:t>The data are currently not planned to be collected or updated again (i.e., they come from a one-time study).</w:t>
            </w:r>
          </w:p>
        </w:tc>
      </w:tr>
      <w:tr w:rsidR="00002B05" w:rsidRPr="00B70B62" w14:paraId="2F0036F2" w14:textId="77777777" w:rsidTr="00F20A98">
        <w:trPr>
          <w:trHeight w:val="938"/>
        </w:trPr>
        <w:tc>
          <w:tcPr>
            <w:tcW w:w="1440" w:type="dxa"/>
            <w:tcBorders>
              <w:top w:val="dotted" w:sz="4" w:space="0" w:color="000000"/>
              <w:left w:val="single" w:sz="4" w:space="0" w:color="000000"/>
              <w:bottom w:val="dotted" w:sz="4" w:space="0" w:color="000000"/>
              <w:right w:val="dotted" w:sz="4" w:space="0" w:color="000000"/>
            </w:tcBorders>
            <w:shd w:val="clear" w:color="auto" w:fill="auto"/>
            <w:tcMar>
              <w:top w:w="15" w:type="dxa"/>
              <w:left w:w="15" w:type="dxa"/>
              <w:bottom w:w="0" w:type="dxa"/>
              <w:right w:w="15" w:type="dxa"/>
            </w:tcMar>
            <w:hideMark/>
          </w:tcPr>
          <w:p w14:paraId="68677085" w14:textId="77777777" w:rsidR="00002B05" w:rsidRPr="00DC7C14" w:rsidRDefault="00002B05" w:rsidP="00F20A98">
            <w:pPr>
              <w:spacing w:after="0" w:line="240" w:lineRule="auto"/>
              <w:rPr>
                <w:b/>
              </w:rPr>
            </w:pPr>
            <w:r w:rsidRPr="00DC7C14">
              <w:rPr>
                <w:b/>
                <w:bCs/>
              </w:rPr>
              <w:t>Proximate</w:t>
            </w:r>
          </w:p>
        </w:tc>
        <w:tc>
          <w:tcPr>
            <w:tcW w:w="3920" w:type="dxa"/>
            <w:tcBorders>
              <w:top w:val="dotted" w:sz="4" w:space="0" w:color="000000"/>
              <w:left w:val="dotted" w:sz="4" w:space="0" w:color="000000"/>
              <w:bottom w:val="dotted" w:sz="4" w:space="0" w:color="000000"/>
              <w:right w:val="dotted" w:sz="4" w:space="0" w:color="000000"/>
            </w:tcBorders>
            <w:shd w:val="clear" w:color="auto" w:fill="008000"/>
            <w:tcMar>
              <w:top w:w="15" w:type="dxa"/>
              <w:left w:w="15" w:type="dxa"/>
              <w:bottom w:w="0" w:type="dxa"/>
              <w:right w:w="15" w:type="dxa"/>
            </w:tcMar>
            <w:hideMark/>
          </w:tcPr>
          <w:p w14:paraId="635491DB" w14:textId="2321B39D" w:rsidR="00002B05" w:rsidRPr="00AA4B95" w:rsidRDefault="00002B05" w:rsidP="00F20A98">
            <w:pPr>
              <w:spacing w:after="0" w:line="240" w:lineRule="auto"/>
            </w:pPr>
            <w:r w:rsidRPr="00AA4B95">
              <w:t xml:space="preserve">Data are indicative of the environmental sustainability of agriculture </w:t>
            </w:r>
            <w:r w:rsidR="00926848">
              <w:t>with respect</w:t>
            </w:r>
            <w:r w:rsidRPr="00AA4B95">
              <w:t xml:space="preserve"> to the theme</w:t>
            </w:r>
            <w:r w:rsidR="00926848">
              <w:t xml:space="preserve"> being considered</w:t>
            </w:r>
            <w:r w:rsidRPr="00AA4B95">
              <w:t>.  They are a good “proxy”.</w:t>
            </w:r>
          </w:p>
          <w:p w14:paraId="3E6C5BD8" w14:textId="77777777" w:rsidR="00002B05" w:rsidRPr="00AA4B95" w:rsidRDefault="00002B05" w:rsidP="00F20A98">
            <w:pPr>
              <w:spacing w:after="0" w:line="240" w:lineRule="auto"/>
            </w:pPr>
          </w:p>
        </w:tc>
        <w:tc>
          <w:tcPr>
            <w:tcW w:w="4120" w:type="dxa"/>
            <w:tcBorders>
              <w:top w:val="dotted" w:sz="4" w:space="0" w:color="000000"/>
              <w:left w:val="dotted" w:sz="4" w:space="0" w:color="000000"/>
              <w:bottom w:val="dotted" w:sz="4" w:space="0" w:color="000000"/>
              <w:right w:val="dotted" w:sz="4" w:space="0" w:color="000000"/>
            </w:tcBorders>
            <w:shd w:val="clear" w:color="auto" w:fill="FFFF00"/>
            <w:tcMar>
              <w:top w:w="15" w:type="dxa"/>
              <w:left w:w="15" w:type="dxa"/>
              <w:bottom w:w="0" w:type="dxa"/>
              <w:right w:w="15" w:type="dxa"/>
            </w:tcMar>
            <w:hideMark/>
          </w:tcPr>
          <w:p w14:paraId="5E0C4CC7" w14:textId="118B2BF3" w:rsidR="00002B05" w:rsidRDefault="00002B05" w:rsidP="00F20A98">
            <w:pPr>
              <w:spacing w:after="0" w:line="240" w:lineRule="auto"/>
            </w:pPr>
            <w:r w:rsidRPr="00B70B62">
              <w:t xml:space="preserve">Data </w:t>
            </w:r>
            <w:r>
              <w:t>are somewhat indicative of</w:t>
            </w:r>
            <w:r w:rsidRPr="00B70B62">
              <w:t xml:space="preserve"> </w:t>
            </w:r>
            <w:r>
              <w:t xml:space="preserve">the </w:t>
            </w:r>
            <w:r w:rsidRPr="00B70B62">
              <w:t xml:space="preserve">environmental sustainability </w:t>
            </w:r>
            <w:r>
              <w:t>of</w:t>
            </w:r>
            <w:r w:rsidRPr="00B70B62">
              <w:t xml:space="preserve"> agriculture</w:t>
            </w:r>
            <w:r w:rsidR="00926848">
              <w:t xml:space="preserve"> with respect to the theme being considered</w:t>
            </w:r>
            <w:r w:rsidRPr="00B70B62">
              <w:t xml:space="preserve">, but </w:t>
            </w:r>
            <w:r>
              <w:t xml:space="preserve">they are </w:t>
            </w:r>
            <w:r w:rsidRPr="00B70B62">
              <w:t xml:space="preserve">not the </w:t>
            </w:r>
            <w:r>
              <w:t>ideal</w:t>
            </w:r>
            <w:r w:rsidRPr="00B70B62">
              <w:t xml:space="preserve"> proxy.</w:t>
            </w:r>
          </w:p>
          <w:p w14:paraId="18EA49EF" w14:textId="77777777" w:rsidR="00002B05" w:rsidRPr="00B70B62" w:rsidRDefault="00002B05" w:rsidP="00F20A98">
            <w:pPr>
              <w:spacing w:after="0" w:line="240" w:lineRule="auto"/>
            </w:pPr>
          </w:p>
        </w:tc>
        <w:tc>
          <w:tcPr>
            <w:tcW w:w="3945" w:type="dxa"/>
            <w:tcBorders>
              <w:top w:val="dotted" w:sz="4" w:space="0" w:color="000000"/>
              <w:left w:val="dotted" w:sz="4" w:space="0" w:color="000000"/>
              <w:bottom w:val="dotted" w:sz="4" w:space="0" w:color="000000"/>
              <w:right w:val="single" w:sz="4" w:space="0" w:color="000000"/>
            </w:tcBorders>
            <w:shd w:val="clear" w:color="auto" w:fill="CC0000"/>
            <w:tcMar>
              <w:top w:w="15" w:type="dxa"/>
              <w:left w:w="15" w:type="dxa"/>
              <w:bottom w:w="0" w:type="dxa"/>
              <w:right w:w="15" w:type="dxa"/>
            </w:tcMar>
            <w:hideMark/>
          </w:tcPr>
          <w:p w14:paraId="6F230EEB" w14:textId="5EF45990" w:rsidR="00002B05" w:rsidRPr="00AA4B95" w:rsidRDefault="00002B05" w:rsidP="00F20A98">
            <w:pPr>
              <w:spacing w:after="0" w:line="240" w:lineRule="auto"/>
            </w:pPr>
            <w:r w:rsidRPr="00AA4B95">
              <w:t>Data are not indicative of the environmental sustainability of agriculture</w:t>
            </w:r>
            <w:r w:rsidR="00926848">
              <w:t xml:space="preserve"> with respect to the theme being considered</w:t>
            </w:r>
            <w:r w:rsidRPr="00AA4B95">
              <w:t>.</w:t>
            </w:r>
          </w:p>
        </w:tc>
      </w:tr>
      <w:tr w:rsidR="00002B05" w:rsidRPr="00B70B62" w14:paraId="0FFDA8D8" w14:textId="77777777" w:rsidTr="00F20A98">
        <w:trPr>
          <w:trHeight w:val="932"/>
        </w:trPr>
        <w:tc>
          <w:tcPr>
            <w:tcW w:w="1440" w:type="dxa"/>
            <w:tcBorders>
              <w:top w:val="dotted" w:sz="4" w:space="0" w:color="000000"/>
              <w:left w:val="single" w:sz="4" w:space="0" w:color="000000"/>
              <w:bottom w:val="dotted" w:sz="4" w:space="0" w:color="000000"/>
              <w:right w:val="dotted" w:sz="4" w:space="0" w:color="000000"/>
            </w:tcBorders>
            <w:shd w:val="clear" w:color="auto" w:fill="auto"/>
            <w:tcMar>
              <w:top w:w="15" w:type="dxa"/>
              <w:left w:w="15" w:type="dxa"/>
              <w:bottom w:w="0" w:type="dxa"/>
              <w:right w:w="15" w:type="dxa"/>
            </w:tcMar>
            <w:hideMark/>
          </w:tcPr>
          <w:p w14:paraId="3648B935" w14:textId="77777777" w:rsidR="00002B05" w:rsidRPr="00DC7C14" w:rsidRDefault="00002B05" w:rsidP="00F20A98">
            <w:pPr>
              <w:spacing w:after="0" w:line="240" w:lineRule="auto"/>
              <w:rPr>
                <w:b/>
              </w:rPr>
            </w:pPr>
            <w:r w:rsidRPr="00DC7C14">
              <w:rPr>
                <w:b/>
                <w:bCs/>
              </w:rPr>
              <w:t>Relevant</w:t>
            </w:r>
          </w:p>
        </w:tc>
        <w:tc>
          <w:tcPr>
            <w:tcW w:w="3920" w:type="dxa"/>
            <w:tcBorders>
              <w:top w:val="dotted" w:sz="4" w:space="0" w:color="000000"/>
              <w:left w:val="dotted" w:sz="4" w:space="0" w:color="000000"/>
              <w:bottom w:val="dotted" w:sz="4" w:space="0" w:color="000000"/>
              <w:right w:val="dotted" w:sz="4" w:space="0" w:color="000000"/>
            </w:tcBorders>
            <w:shd w:val="clear" w:color="auto" w:fill="008000"/>
            <w:tcMar>
              <w:top w:w="15" w:type="dxa"/>
              <w:left w:w="15" w:type="dxa"/>
              <w:bottom w:w="0" w:type="dxa"/>
              <w:right w:w="15" w:type="dxa"/>
            </w:tcMar>
            <w:hideMark/>
          </w:tcPr>
          <w:p w14:paraId="1EF5F12F" w14:textId="77777777" w:rsidR="00002B05" w:rsidRPr="00AA4B95" w:rsidRDefault="00002B05" w:rsidP="00F20A98">
            <w:pPr>
              <w:spacing w:after="0" w:line="240" w:lineRule="auto"/>
            </w:pPr>
            <w:r w:rsidRPr="00AA4B95">
              <w:t>Data are highly pertinent to policy decisions involving the environmental sustainability of agriculture.</w:t>
            </w:r>
          </w:p>
          <w:p w14:paraId="5C326420" w14:textId="77777777" w:rsidR="00002B05" w:rsidRPr="00AA4B95" w:rsidRDefault="00002B05" w:rsidP="00F20A98">
            <w:pPr>
              <w:spacing w:after="0" w:line="240" w:lineRule="auto"/>
            </w:pPr>
          </w:p>
        </w:tc>
        <w:tc>
          <w:tcPr>
            <w:tcW w:w="4120" w:type="dxa"/>
            <w:tcBorders>
              <w:top w:val="dotted" w:sz="4" w:space="0" w:color="000000"/>
              <w:left w:val="dotted" w:sz="4" w:space="0" w:color="000000"/>
              <w:bottom w:val="dotted" w:sz="4" w:space="0" w:color="000000"/>
              <w:right w:val="dotted" w:sz="4" w:space="0" w:color="000000"/>
            </w:tcBorders>
            <w:shd w:val="clear" w:color="auto" w:fill="FFFF00"/>
            <w:tcMar>
              <w:top w:w="15" w:type="dxa"/>
              <w:left w:w="15" w:type="dxa"/>
              <w:bottom w:w="0" w:type="dxa"/>
              <w:right w:w="15" w:type="dxa"/>
            </w:tcMar>
            <w:hideMark/>
          </w:tcPr>
          <w:p w14:paraId="1438077B" w14:textId="77777777" w:rsidR="00002B05" w:rsidRPr="00B70B62" w:rsidRDefault="00002B05" w:rsidP="00F20A98">
            <w:pPr>
              <w:spacing w:after="0" w:line="240" w:lineRule="auto"/>
            </w:pPr>
            <w:r w:rsidRPr="00B70B62">
              <w:t>Data could be relevant to policy decisions</w:t>
            </w:r>
            <w:r>
              <w:t xml:space="preserve"> involving the environmental sustainability of agriculture</w:t>
            </w:r>
            <w:r w:rsidRPr="00B70B62">
              <w:t>, depending on</w:t>
            </w:r>
            <w:r>
              <w:t xml:space="preserve"> the</w:t>
            </w:r>
            <w:r w:rsidRPr="00B70B62">
              <w:t xml:space="preserve"> context.</w:t>
            </w:r>
          </w:p>
        </w:tc>
        <w:tc>
          <w:tcPr>
            <w:tcW w:w="3945" w:type="dxa"/>
            <w:tcBorders>
              <w:top w:val="dotted" w:sz="4" w:space="0" w:color="000000"/>
              <w:left w:val="dotted" w:sz="4" w:space="0" w:color="000000"/>
              <w:bottom w:val="dotted" w:sz="4" w:space="0" w:color="000000"/>
              <w:right w:val="single" w:sz="4" w:space="0" w:color="000000"/>
            </w:tcBorders>
            <w:shd w:val="clear" w:color="auto" w:fill="CC0000"/>
            <w:tcMar>
              <w:top w:w="15" w:type="dxa"/>
              <w:left w:w="15" w:type="dxa"/>
              <w:bottom w:w="0" w:type="dxa"/>
              <w:right w:w="15" w:type="dxa"/>
            </w:tcMar>
            <w:hideMark/>
          </w:tcPr>
          <w:p w14:paraId="4483A3B8" w14:textId="3D60FAE2" w:rsidR="00002B05" w:rsidRPr="00AA4B95" w:rsidRDefault="00002B05" w:rsidP="00F20A98">
            <w:pPr>
              <w:spacing w:after="0" w:line="240" w:lineRule="auto"/>
            </w:pPr>
            <w:r w:rsidRPr="00AA4B95">
              <w:t xml:space="preserve">Data are too generic or too far removed from on-the-ground performance or practice and thus are not </w:t>
            </w:r>
            <w:r w:rsidR="00C129B5">
              <w:t xml:space="preserve">relevant to </w:t>
            </w:r>
            <w:r w:rsidRPr="00AA4B95">
              <w:t xml:space="preserve"> policy decisions.</w:t>
            </w:r>
          </w:p>
          <w:p w14:paraId="092C9FDD" w14:textId="77777777" w:rsidR="00002B05" w:rsidRPr="00AA4B95" w:rsidRDefault="00002B05" w:rsidP="00F20A98">
            <w:pPr>
              <w:spacing w:after="0" w:line="240" w:lineRule="auto"/>
            </w:pPr>
          </w:p>
        </w:tc>
      </w:tr>
      <w:tr w:rsidR="00002B05" w:rsidRPr="00B70B62" w14:paraId="4B80088E" w14:textId="77777777" w:rsidTr="00F20A98">
        <w:trPr>
          <w:trHeight w:val="932"/>
        </w:trPr>
        <w:tc>
          <w:tcPr>
            <w:tcW w:w="1440" w:type="dxa"/>
            <w:tcBorders>
              <w:top w:val="dotted" w:sz="4" w:space="0" w:color="000000"/>
              <w:left w:val="single" w:sz="4" w:space="0" w:color="000000"/>
              <w:bottom w:val="single" w:sz="4" w:space="0" w:color="000000"/>
              <w:right w:val="dotted" w:sz="4" w:space="0" w:color="000000"/>
            </w:tcBorders>
            <w:shd w:val="clear" w:color="auto" w:fill="auto"/>
            <w:tcMar>
              <w:top w:w="15" w:type="dxa"/>
              <w:left w:w="15" w:type="dxa"/>
              <w:bottom w:w="0" w:type="dxa"/>
              <w:right w:w="15" w:type="dxa"/>
            </w:tcMar>
            <w:hideMark/>
          </w:tcPr>
          <w:p w14:paraId="11432BDB" w14:textId="77777777" w:rsidR="00002B05" w:rsidRPr="00DC7C14" w:rsidRDefault="00002B05" w:rsidP="00F20A98">
            <w:pPr>
              <w:spacing w:after="0" w:line="240" w:lineRule="auto"/>
              <w:rPr>
                <w:b/>
              </w:rPr>
            </w:pPr>
            <w:r w:rsidRPr="00DC7C14">
              <w:rPr>
                <w:b/>
                <w:bCs/>
              </w:rPr>
              <w:t>Differentiating</w:t>
            </w:r>
          </w:p>
        </w:tc>
        <w:tc>
          <w:tcPr>
            <w:tcW w:w="3920" w:type="dxa"/>
            <w:tcBorders>
              <w:top w:val="dotted" w:sz="4" w:space="0" w:color="000000"/>
              <w:left w:val="dotted" w:sz="4" w:space="0" w:color="000000"/>
              <w:bottom w:val="single" w:sz="4" w:space="0" w:color="000000"/>
              <w:right w:val="dotted" w:sz="4" w:space="0" w:color="000000"/>
            </w:tcBorders>
            <w:shd w:val="clear" w:color="auto" w:fill="008000"/>
            <w:tcMar>
              <w:top w:w="15" w:type="dxa"/>
              <w:left w:w="15" w:type="dxa"/>
              <w:bottom w:w="0" w:type="dxa"/>
              <w:right w:w="15" w:type="dxa"/>
            </w:tcMar>
            <w:hideMark/>
          </w:tcPr>
          <w:p w14:paraId="58F62BAD" w14:textId="77777777" w:rsidR="00002B05" w:rsidRPr="00AA4B95" w:rsidRDefault="00002B05" w:rsidP="00F20A98">
            <w:pPr>
              <w:spacing w:after="0" w:line="240" w:lineRule="auto"/>
            </w:pPr>
            <w:r w:rsidRPr="00AA4B95">
              <w:t>Data are specific enough and produce sufficient variability amongst countries to differentiate between actors.</w:t>
            </w:r>
          </w:p>
          <w:p w14:paraId="76F671BF" w14:textId="77777777" w:rsidR="00002B05" w:rsidRPr="00AA4B95" w:rsidRDefault="00002B05" w:rsidP="00F20A98">
            <w:pPr>
              <w:spacing w:after="0" w:line="240" w:lineRule="auto"/>
            </w:pPr>
          </w:p>
        </w:tc>
        <w:tc>
          <w:tcPr>
            <w:tcW w:w="4120" w:type="dxa"/>
            <w:tcBorders>
              <w:top w:val="dotted" w:sz="4" w:space="0" w:color="000000"/>
              <w:left w:val="dotted" w:sz="4" w:space="0" w:color="000000"/>
              <w:bottom w:val="single" w:sz="4" w:space="0" w:color="000000"/>
              <w:right w:val="dotted" w:sz="4" w:space="0" w:color="000000"/>
            </w:tcBorders>
            <w:shd w:val="clear" w:color="auto" w:fill="FFFF00"/>
            <w:tcMar>
              <w:top w:w="15" w:type="dxa"/>
              <w:left w:w="15" w:type="dxa"/>
              <w:bottom w:w="0" w:type="dxa"/>
              <w:right w:w="15" w:type="dxa"/>
            </w:tcMar>
            <w:hideMark/>
          </w:tcPr>
          <w:p w14:paraId="6776ADC9" w14:textId="74682FA9" w:rsidR="00002B05" w:rsidRPr="00B70B62" w:rsidRDefault="00002B05" w:rsidP="00C129B5">
            <w:pPr>
              <w:spacing w:after="0" w:line="240" w:lineRule="auto"/>
            </w:pPr>
            <w:r>
              <w:t>D</w:t>
            </w:r>
            <w:r w:rsidRPr="00B70B62">
              <w:t xml:space="preserve">ata </w:t>
            </w:r>
            <w:r w:rsidR="00C129B5">
              <w:t>could be elaborated</w:t>
            </w:r>
            <w:r w:rsidRPr="00B70B62">
              <w:t xml:space="preserve"> to ensure that </w:t>
            </w:r>
            <w:r>
              <w:t>they are</w:t>
            </w:r>
            <w:r w:rsidRPr="00B70B62">
              <w:t xml:space="preserve"> specific enough to produce variability at the national level to differentiate between actors. </w:t>
            </w:r>
          </w:p>
        </w:tc>
        <w:tc>
          <w:tcPr>
            <w:tcW w:w="3945" w:type="dxa"/>
            <w:tcBorders>
              <w:top w:val="dotted" w:sz="4" w:space="0" w:color="000000"/>
              <w:left w:val="dotted" w:sz="4" w:space="0" w:color="000000"/>
              <w:bottom w:val="single" w:sz="4" w:space="0" w:color="000000"/>
              <w:right w:val="single" w:sz="4" w:space="0" w:color="000000"/>
            </w:tcBorders>
            <w:shd w:val="clear" w:color="auto" w:fill="CC0000"/>
            <w:tcMar>
              <w:top w:w="15" w:type="dxa"/>
              <w:left w:w="15" w:type="dxa"/>
              <w:bottom w:w="0" w:type="dxa"/>
              <w:right w:w="15" w:type="dxa"/>
            </w:tcMar>
            <w:hideMark/>
          </w:tcPr>
          <w:p w14:paraId="4EF5EC88" w14:textId="77777777" w:rsidR="00002B05" w:rsidRPr="00AA4B95" w:rsidRDefault="00002B05" w:rsidP="00F20A98">
            <w:pPr>
              <w:spacing w:after="0" w:line="240" w:lineRule="auto"/>
            </w:pPr>
            <w:r w:rsidRPr="00AA4B95">
              <w:t>Data do not produce enough variability amongst countries to adequately differentiate between actors.</w:t>
            </w:r>
          </w:p>
        </w:tc>
      </w:tr>
    </w:tbl>
    <w:p w14:paraId="09D4FFB0" w14:textId="77777777" w:rsidR="00002B05" w:rsidRDefault="00002B05" w:rsidP="00002B05">
      <w:pPr>
        <w:sectPr w:rsidR="00002B05" w:rsidSect="00B70B62">
          <w:endnotePr>
            <w:numFmt w:val="decimal"/>
          </w:endnotePr>
          <w:pgSz w:w="15840" w:h="12240" w:orient="landscape"/>
          <w:pgMar w:top="1440" w:right="1440" w:bottom="1440" w:left="1440" w:header="720" w:footer="720" w:gutter="0"/>
          <w:cols w:space="720"/>
          <w:docGrid w:linePitch="360"/>
        </w:sectPr>
      </w:pPr>
    </w:p>
    <w:p w14:paraId="4B61BD15" w14:textId="1D06354D" w:rsidR="00257ED9" w:rsidRPr="00FF67E4" w:rsidRDefault="00257ED9" w:rsidP="000D6158">
      <w:pPr>
        <w:pStyle w:val="Overskrift1"/>
        <w:numPr>
          <w:ilvl w:val="0"/>
          <w:numId w:val="4"/>
        </w:numPr>
        <w:spacing w:before="0" w:line="240" w:lineRule="auto"/>
        <w:ind w:left="446" w:hanging="446"/>
        <w:rPr>
          <w:rFonts w:asciiTheme="minorHAnsi" w:hAnsiTheme="minorHAnsi"/>
          <w:caps/>
          <w:color w:val="000099"/>
          <w:sz w:val="22"/>
          <w:szCs w:val="22"/>
        </w:rPr>
      </w:pPr>
      <w:bookmarkStart w:id="23" w:name="_Toc386694779"/>
      <w:bookmarkStart w:id="24" w:name="_Toc387076759"/>
      <w:bookmarkStart w:id="25" w:name="_Toc352660940"/>
      <w:r w:rsidRPr="00FF67E4">
        <w:rPr>
          <w:rFonts w:asciiTheme="minorHAnsi" w:hAnsiTheme="minorHAnsi"/>
          <w:caps/>
          <w:color w:val="000099"/>
          <w:sz w:val="22"/>
          <w:szCs w:val="22"/>
        </w:rPr>
        <w:lastRenderedPageBreak/>
        <w:t>Candidate environmental</w:t>
      </w:r>
      <w:r w:rsidR="00922E22" w:rsidRPr="00FF67E4">
        <w:rPr>
          <w:rFonts w:asciiTheme="minorHAnsi" w:hAnsiTheme="minorHAnsi"/>
          <w:caps/>
          <w:color w:val="000099"/>
          <w:sz w:val="22"/>
          <w:szCs w:val="22"/>
        </w:rPr>
        <w:t xml:space="preserve"> sustainability</w:t>
      </w:r>
      <w:r w:rsidRPr="00FF67E4">
        <w:rPr>
          <w:rFonts w:asciiTheme="minorHAnsi" w:hAnsiTheme="minorHAnsi"/>
          <w:caps/>
          <w:color w:val="000099"/>
          <w:sz w:val="22"/>
          <w:szCs w:val="22"/>
        </w:rPr>
        <w:t xml:space="preserve"> indicators</w:t>
      </w:r>
      <w:bookmarkEnd w:id="23"/>
      <w:bookmarkEnd w:id="24"/>
      <w:r w:rsidRPr="00FF67E4">
        <w:rPr>
          <w:rFonts w:asciiTheme="minorHAnsi" w:hAnsiTheme="minorHAnsi"/>
          <w:caps/>
          <w:color w:val="000099"/>
          <w:sz w:val="22"/>
          <w:szCs w:val="22"/>
        </w:rPr>
        <w:t xml:space="preserve"> </w:t>
      </w:r>
      <w:bookmarkEnd w:id="25"/>
    </w:p>
    <w:p w14:paraId="7F9FA6AB" w14:textId="77777777" w:rsidR="0075538B" w:rsidRPr="0075538B" w:rsidRDefault="0075538B" w:rsidP="0075538B">
      <w:pPr>
        <w:spacing w:after="0" w:line="240" w:lineRule="auto"/>
      </w:pPr>
    </w:p>
    <w:p w14:paraId="2AC9D85F" w14:textId="49C50C5E" w:rsidR="001B4E8E" w:rsidRDefault="0075538B" w:rsidP="0075538B">
      <w:pPr>
        <w:keepNext/>
        <w:keepLines/>
        <w:spacing w:after="0" w:line="240" w:lineRule="auto"/>
      </w:pPr>
      <w:r>
        <w:t xml:space="preserve">Once the parameters had been selected, we </w:t>
      </w:r>
      <w:r w:rsidR="001B4E8E">
        <w:t>proceeded to identify</w:t>
      </w:r>
      <w:r>
        <w:t xml:space="preserve"> candidate indicators </w:t>
      </w:r>
      <w:r w:rsidR="001B4E8E">
        <w:t xml:space="preserve">of environmental sustainability in agriculture. </w:t>
      </w:r>
      <w:r w:rsidR="002D4F72">
        <w:t>W</w:t>
      </w:r>
      <w:r w:rsidR="00922E22">
        <w:t xml:space="preserve">e </w:t>
      </w:r>
      <w:r w:rsidR="002D4F72">
        <w:t>began by generating a list</w:t>
      </w:r>
      <w:r w:rsidR="00922E22">
        <w:t xml:space="preserve"> of </w:t>
      </w:r>
      <w:r w:rsidR="002D4F72">
        <w:t>possible</w:t>
      </w:r>
      <w:r w:rsidR="00922E22">
        <w:t xml:space="preserve"> </w:t>
      </w:r>
      <w:r w:rsidR="002D4F72">
        <w:t>indicators for each of</w:t>
      </w:r>
      <w:r w:rsidR="00922E22">
        <w:t xml:space="preserve"> </w:t>
      </w:r>
      <w:r w:rsidR="00607DD9">
        <w:t xml:space="preserve">the five </w:t>
      </w:r>
      <w:r w:rsidR="00922E22">
        <w:t>thematic area</w:t>
      </w:r>
      <w:r w:rsidR="00607DD9">
        <w:t>s</w:t>
      </w:r>
      <w:r w:rsidR="00922E22">
        <w:t xml:space="preserve"> and </w:t>
      </w:r>
      <w:r w:rsidR="002D4F72">
        <w:t xml:space="preserve">for each of the </w:t>
      </w:r>
      <w:r w:rsidR="00607DD9">
        <w:t>three categories</w:t>
      </w:r>
      <w:r w:rsidR="002D4F72">
        <w:t xml:space="preserve"> in the causal chain. To generate this initial list, we took indicators identified in the landscape analysis as well as created indicators based on WRI team expertise. </w:t>
      </w:r>
      <w:r w:rsidR="00B373A4">
        <w:t xml:space="preserve">We then </w:t>
      </w:r>
      <w:r w:rsidR="002D4F72">
        <w:t xml:space="preserve">evaluated each of these possible indicators against the </w:t>
      </w:r>
      <w:r w:rsidR="001B4E8E">
        <w:t xml:space="preserve">seven </w:t>
      </w:r>
      <w:r w:rsidR="002D4F72">
        <w:t xml:space="preserve">screening </w:t>
      </w:r>
      <w:r w:rsidR="001B4E8E">
        <w:t>criteria. Those that fared best against the criteria became the initial “short list” of candidate indicators.</w:t>
      </w:r>
    </w:p>
    <w:p w14:paraId="1C7E7DB8" w14:textId="77777777" w:rsidR="00922E22" w:rsidRPr="00922E22" w:rsidRDefault="00922E22" w:rsidP="0075538B">
      <w:pPr>
        <w:spacing w:after="0" w:line="240" w:lineRule="auto"/>
      </w:pPr>
    </w:p>
    <w:p w14:paraId="3BA9C114" w14:textId="75A0CEB9" w:rsidR="00257ED9" w:rsidRPr="00FF67E4" w:rsidRDefault="005B26A9" w:rsidP="0075538B">
      <w:pPr>
        <w:pStyle w:val="Overskrift2"/>
        <w:spacing w:before="0" w:after="120" w:line="240" w:lineRule="auto"/>
        <w:rPr>
          <w:rFonts w:asciiTheme="minorHAnsi" w:hAnsiTheme="minorHAnsi"/>
          <w:color w:val="000099"/>
          <w:sz w:val="22"/>
          <w:szCs w:val="22"/>
        </w:rPr>
      </w:pPr>
      <w:bookmarkStart w:id="26" w:name="_Toc352660941"/>
      <w:bookmarkStart w:id="27" w:name="_Toc386694780"/>
      <w:bookmarkStart w:id="28" w:name="_Toc387076760"/>
      <w:r>
        <w:rPr>
          <w:rFonts w:asciiTheme="minorHAnsi" w:hAnsiTheme="minorHAnsi"/>
          <w:color w:val="000099"/>
          <w:sz w:val="22"/>
          <w:szCs w:val="22"/>
        </w:rPr>
        <w:t>The short-list i</w:t>
      </w:r>
      <w:r w:rsidR="00257ED9" w:rsidRPr="00FF67E4">
        <w:rPr>
          <w:rFonts w:asciiTheme="minorHAnsi" w:hAnsiTheme="minorHAnsi"/>
          <w:color w:val="000099"/>
          <w:sz w:val="22"/>
          <w:szCs w:val="22"/>
        </w:rPr>
        <w:t>ndicators and metrics</w:t>
      </w:r>
      <w:bookmarkEnd w:id="26"/>
      <w:bookmarkEnd w:id="27"/>
      <w:bookmarkEnd w:id="28"/>
    </w:p>
    <w:p w14:paraId="7A60EFCF" w14:textId="5BDB6162" w:rsidR="002C2833" w:rsidRDefault="00433D9D" w:rsidP="00FF67E4">
      <w:pPr>
        <w:spacing w:after="120" w:line="240" w:lineRule="auto"/>
      </w:pPr>
      <w:r>
        <w:t>The Exce</w:t>
      </w:r>
      <w:r w:rsidR="00071219">
        <w:t xml:space="preserve">l Workbook </w:t>
      </w:r>
      <w:r>
        <w:t>entitled “</w:t>
      </w:r>
      <w:r w:rsidR="00AA4B95">
        <w:t>Evaluation of Candidate Indicators</w:t>
      </w:r>
      <w:r w:rsidR="00452406">
        <w:t xml:space="preserve"> of Environmental Sustainability of Agriculture”, available at </w:t>
      </w:r>
      <w:hyperlink r:id="rId19" w:history="1">
        <w:r w:rsidR="00452406" w:rsidRPr="00676E9B">
          <w:rPr>
            <w:rStyle w:val="Hyperlink"/>
            <w:color w:val="000099"/>
          </w:rPr>
          <w:t>www.wri.org/food/indicators</w:t>
        </w:r>
      </w:hyperlink>
      <w:r w:rsidR="00452406">
        <w:rPr>
          <w:rStyle w:val="Hyperlink"/>
          <w:color w:val="000099"/>
        </w:rPr>
        <w:t>,</w:t>
      </w:r>
      <w:r w:rsidR="00452406">
        <w:t xml:space="preserve"> entitled </w:t>
      </w:r>
      <w:r w:rsidR="00EC6C21">
        <w:t xml:space="preserve">presents </w:t>
      </w:r>
      <w:r w:rsidR="00071219">
        <w:t>the list of possible</w:t>
      </w:r>
      <w:r w:rsidR="00EC6C21">
        <w:t xml:space="preserve"> indicators</w:t>
      </w:r>
      <w:r w:rsidR="00071219">
        <w:t xml:space="preserve">. Each worksheet is dedicated to a thematic area (e.g., water, climate, soil health). Each worksheet is </w:t>
      </w:r>
      <w:r w:rsidR="00EC6C21">
        <w:t xml:space="preserve">organized </w:t>
      </w:r>
      <w:r w:rsidR="00071219">
        <w:t>by</w:t>
      </w:r>
      <w:r w:rsidR="00EC6C21">
        <w:t xml:space="preserve"> category in the causal chain (</w:t>
      </w:r>
      <w:r w:rsidR="00071219">
        <w:t xml:space="preserve">i.e., </w:t>
      </w:r>
      <w:r w:rsidR="00EC6C21">
        <w:t xml:space="preserve">policy, practice, </w:t>
      </w:r>
      <w:r w:rsidR="00071219">
        <w:t xml:space="preserve">performance) on one dimension and by selection criteria (e.g., available, accurate, consistent) on the other. Each possible indicator is evaluated against these criteria, accompanied by comments providing further clarification on the indicator. Those </w:t>
      </w:r>
      <w:r w:rsidR="002C2833">
        <w:t>selected to be on the “short list” of candidate indicators are highlighte</w:t>
      </w:r>
      <w:r w:rsidR="00FF67E4">
        <w:t xml:space="preserve">d </w:t>
      </w:r>
      <w:r w:rsidR="00395D9B">
        <w:t xml:space="preserve">in the Excel Workbook </w:t>
      </w:r>
      <w:r w:rsidR="00FF67E4">
        <w:t xml:space="preserve">and are summarized in </w:t>
      </w:r>
      <w:r w:rsidR="00F558DC">
        <w:rPr>
          <w:color w:val="000099"/>
        </w:rPr>
        <w:t>Table 5</w:t>
      </w:r>
      <w:r w:rsidR="00395D9B" w:rsidRPr="00F558DC">
        <w:t xml:space="preserve"> </w:t>
      </w:r>
      <w:r w:rsidR="00395D9B">
        <w:t>below</w:t>
      </w:r>
      <w:r w:rsidR="002C2833">
        <w:t>.</w:t>
      </w:r>
    </w:p>
    <w:p w14:paraId="4F614775" w14:textId="77777777" w:rsidR="001B4C9C" w:rsidRPr="001B4C9C" w:rsidRDefault="001B4C9C" w:rsidP="001B4C9C">
      <w:pPr>
        <w:spacing w:after="120" w:line="240" w:lineRule="auto"/>
        <w:rPr>
          <w:b/>
          <w:i/>
          <w:color w:val="000099"/>
        </w:rPr>
      </w:pPr>
      <w:r w:rsidRPr="001B4C9C">
        <w:rPr>
          <w:b/>
          <w:i/>
          <w:color w:val="000099"/>
        </w:rPr>
        <w:t>Water</w:t>
      </w:r>
    </w:p>
    <w:p w14:paraId="3F07B76C" w14:textId="77777777" w:rsidR="001B4C9C" w:rsidRDefault="00D22F3E" w:rsidP="001B4C9C">
      <w:pPr>
        <w:spacing w:after="120" w:line="240" w:lineRule="auto"/>
      </w:pPr>
      <w:r>
        <w:t>For t</w:t>
      </w:r>
      <w:r w:rsidR="00E05594">
        <w:t>he water theme</w:t>
      </w:r>
      <w:r>
        <w:t xml:space="preserve">, the </w:t>
      </w:r>
      <w:r w:rsidR="00177133">
        <w:t>candidate</w:t>
      </w:r>
      <w:r>
        <w:t xml:space="preserve"> indicators are those that best </w:t>
      </w:r>
      <w:r w:rsidR="00FF67E4">
        <w:t>reflect</w:t>
      </w:r>
      <w:r w:rsidR="00E05594">
        <w:t xml:space="preserve"> agricultural pressure on</w:t>
      </w:r>
      <w:r w:rsidR="00177133">
        <w:t xml:space="preserve"> water resource </w:t>
      </w:r>
      <w:r w:rsidR="00FF67E4">
        <w:t>use</w:t>
      </w:r>
      <w:r w:rsidR="00177133">
        <w:t>.</w:t>
      </w:r>
      <w:r w:rsidR="00E05594">
        <w:t xml:space="preserve"> The </w:t>
      </w:r>
      <w:r w:rsidR="007D38A1">
        <w:t>candidate</w:t>
      </w:r>
      <w:r w:rsidR="00E05594">
        <w:t xml:space="preserve"> ind</w:t>
      </w:r>
      <w:r w:rsidR="001B4C9C">
        <w:t>icators for this theme include:</w:t>
      </w:r>
    </w:p>
    <w:p w14:paraId="423D80A7" w14:textId="751742DB" w:rsidR="001B4C9C" w:rsidRDefault="001B4C9C" w:rsidP="000D6158">
      <w:pPr>
        <w:pStyle w:val="Listeafsnit"/>
        <w:numPr>
          <w:ilvl w:val="0"/>
          <w:numId w:val="8"/>
        </w:numPr>
        <w:spacing w:after="120" w:line="240" w:lineRule="auto"/>
        <w:contextualSpacing w:val="0"/>
      </w:pPr>
      <w:r>
        <w:t>F</w:t>
      </w:r>
      <w:r w:rsidR="00E05594">
        <w:t xml:space="preserve">or policy, </w:t>
      </w:r>
      <w:r w:rsidR="00D22F3E">
        <w:t xml:space="preserve">existence of </w:t>
      </w:r>
      <w:r w:rsidR="00995DB2">
        <w:t>policies</w:t>
      </w:r>
      <w:r w:rsidR="00D22F3E">
        <w:t xml:space="preserve"> requiring measurement of </w:t>
      </w:r>
      <w:r>
        <w:t>agricultural water withdrawals;</w:t>
      </w:r>
    </w:p>
    <w:p w14:paraId="606C4A89" w14:textId="186CB270" w:rsidR="001B4C9C" w:rsidRDefault="001B4C9C" w:rsidP="000D6158">
      <w:pPr>
        <w:pStyle w:val="Listeafsnit"/>
        <w:numPr>
          <w:ilvl w:val="0"/>
          <w:numId w:val="8"/>
        </w:numPr>
        <w:spacing w:after="120" w:line="240" w:lineRule="auto"/>
        <w:contextualSpacing w:val="0"/>
      </w:pPr>
      <w:r>
        <w:t>F</w:t>
      </w:r>
      <w:r w:rsidR="00E05594">
        <w:t xml:space="preserve">or practice, </w:t>
      </w:r>
      <w:r w:rsidR="00D22F3E">
        <w:t xml:space="preserve">share of </w:t>
      </w:r>
      <w:r w:rsidR="00995DB2">
        <w:t>cropland</w:t>
      </w:r>
      <w:r w:rsidR="00D22F3E">
        <w:t xml:space="preserve"> with</w:t>
      </w:r>
      <w:r w:rsidR="00E05594">
        <w:t xml:space="preserve"> efficient ir</w:t>
      </w:r>
      <w:r>
        <w:t>rigation practices implemented; and</w:t>
      </w:r>
    </w:p>
    <w:p w14:paraId="1C8BCBD0" w14:textId="77777777" w:rsidR="001B4C9C" w:rsidRDefault="001B4C9C" w:rsidP="000D6158">
      <w:pPr>
        <w:pStyle w:val="Listeafsnit"/>
        <w:numPr>
          <w:ilvl w:val="0"/>
          <w:numId w:val="8"/>
        </w:numPr>
        <w:spacing w:after="120" w:line="240" w:lineRule="auto"/>
      </w:pPr>
      <w:r>
        <w:t>F</w:t>
      </w:r>
      <w:r w:rsidR="00E05594">
        <w:t xml:space="preserve">or performance, agricultural water productivity (i.e., </w:t>
      </w:r>
      <w:r w:rsidR="00684E96">
        <w:t xml:space="preserve">crop </w:t>
      </w:r>
      <w:r w:rsidR="00E05594">
        <w:t xml:space="preserve">production per drop) combined with </w:t>
      </w:r>
      <w:r w:rsidR="00177133">
        <w:t>a water-</w:t>
      </w:r>
      <w:r w:rsidR="00E05594">
        <w:t>stress ratio</w:t>
      </w:r>
      <w:r w:rsidR="00177133">
        <w:t>.</w:t>
      </w:r>
      <w:r w:rsidR="00D22F3E">
        <w:t xml:space="preserve"> </w:t>
      </w:r>
    </w:p>
    <w:p w14:paraId="0048169D" w14:textId="68982EEB" w:rsidR="001B4C9C" w:rsidRDefault="00D22F3E" w:rsidP="001B4C9C">
      <w:pPr>
        <w:spacing w:after="0" w:line="240" w:lineRule="auto"/>
      </w:pPr>
      <w:r>
        <w:t>T</w:t>
      </w:r>
      <w:r w:rsidR="00177133">
        <w:t>he water-</w:t>
      </w:r>
      <w:r w:rsidR="00684E96">
        <w:t xml:space="preserve">stress ratio </w:t>
      </w:r>
      <w:r w:rsidR="00177133">
        <w:t>is</w:t>
      </w:r>
      <w:r w:rsidR="00684E96">
        <w:t xml:space="preserve"> used </w:t>
      </w:r>
      <w:r w:rsidR="00177133">
        <w:t>to distinguish</w:t>
      </w:r>
      <w:r w:rsidR="00E05594">
        <w:t xml:space="preserve"> between water-</w:t>
      </w:r>
      <w:r>
        <w:t xml:space="preserve">rich </w:t>
      </w:r>
      <w:r w:rsidR="00E05594">
        <w:t>and water-</w:t>
      </w:r>
      <w:r>
        <w:t>poor</w:t>
      </w:r>
      <w:r w:rsidR="00E05594">
        <w:t xml:space="preserve"> countries</w:t>
      </w:r>
      <w:r w:rsidR="00FF67E4">
        <w:t>. For example, a low crop-per-</w:t>
      </w:r>
      <w:r w:rsidR="00177133">
        <w:t xml:space="preserve">drop performance may not signal a problem in countries with low water stress (i.e., where water is abundant). </w:t>
      </w:r>
      <w:r w:rsidR="00684E96">
        <w:t>As water use is one of the most studied</w:t>
      </w:r>
      <w:r w:rsidR="001B4C9C">
        <w:t xml:space="preserve"> and documented aspects of agri -</w:t>
      </w:r>
      <w:r w:rsidR="00684E96">
        <w:t xml:space="preserve">environmental sustainability, the </w:t>
      </w:r>
      <w:r w:rsidR="007D38A1">
        <w:t xml:space="preserve">candidate </w:t>
      </w:r>
      <w:r w:rsidR="00684E96">
        <w:t xml:space="preserve">data for this theme </w:t>
      </w:r>
      <w:r w:rsidR="00177133">
        <w:t>are</w:t>
      </w:r>
      <w:r w:rsidR="00684E96">
        <w:t xml:space="preserve"> largely already available </w:t>
      </w:r>
      <w:r w:rsidR="009B0773">
        <w:t xml:space="preserve">at a global level </w:t>
      </w:r>
      <w:r w:rsidR="00684E96">
        <w:t xml:space="preserve">through </w:t>
      </w:r>
      <w:r w:rsidR="009B0773">
        <w:t>sources such as FAO, although o</w:t>
      </w:r>
      <w:r w:rsidR="00177133">
        <w:t>ur recommendations also include</w:t>
      </w:r>
      <w:r w:rsidR="009B0773">
        <w:t xml:space="preserve"> way</w:t>
      </w:r>
      <w:r w:rsidR="00177133">
        <w:t>s</w:t>
      </w:r>
      <w:r w:rsidR="009B0773">
        <w:t xml:space="preserve"> of i</w:t>
      </w:r>
      <w:r w:rsidR="00727050">
        <w:t>mproving existing data</w:t>
      </w:r>
      <w:r w:rsidR="009B0773">
        <w:t xml:space="preserve">sets. </w:t>
      </w:r>
    </w:p>
    <w:p w14:paraId="314CDBD1" w14:textId="77777777" w:rsidR="001B4C9C" w:rsidRDefault="001B4C9C" w:rsidP="001B4C9C">
      <w:pPr>
        <w:spacing w:after="0" w:line="240" w:lineRule="auto"/>
      </w:pPr>
    </w:p>
    <w:p w14:paraId="5FEC1152" w14:textId="77777777" w:rsidR="001B4C9C" w:rsidRPr="001B4C9C" w:rsidRDefault="00E34B3F" w:rsidP="001B4C9C">
      <w:pPr>
        <w:spacing w:after="120" w:line="240" w:lineRule="auto"/>
        <w:rPr>
          <w:b/>
          <w:i/>
          <w:color w:val="000099"/>
        </w:rPr>
      </w:pPr>
      <w:r w:rsidRPr="001B4C9C">
        <w:rPr>
          <w:b/>
          <w:i/>
          <w:color w:val="000099"/>
        </w:rPr>
        <w:t>Climate c</w:t>
      </w:r>
      <w:r w:rsidR="001B4C9C" w:rsidRPr="001B4C9C">
        <w:rPr>
          <w:b/>
          <w:i/>
          <w:color w:val="000099"/>
        </w:rPr>
        <w:t>hange</w:t>
      </w:r>
    </w:p>
    <w:p w14:paraId="75C8F375" w14:textId="77777777" w:rsidR="001B4C9C" w:rsidRDefault="003C06DA" w:rsidP="001B4C9C">
      <w:pPr>
        <w:spacing w:after="120" w:line="240" w:lineRule="auto"/>
      </w:pPr>
      <w:r>
        <w:t xml:space="preserve">For the climate change </w:t>
      </w:r>
      <w:r w:rsidR="0039736C">
        <w:t>theme</w:t>
      </w:r>
      <w:r>
        <w:t xml:space="preserve">, the </w:t>
      </w:r>
      <w:r w:rsidR="00E63F86">
        <w:t>candidate</w:t>
      </w:r>
      <w:r>
        <w:t xml:space="preserve"> indicators are</w:t>
      </w:r>
      <w:r w:rsidR="00D22F3E">
        <w:t xml:space="preserve"> intended to capture</w:t>
      </w:r>
      <w:r>
        <w:t xml:space="preserve"> the impact of agriculture on greenhouse gas (GHG) emissions</w:t>
      </w:r>
      <w:r w:rsidR="00E63F86">
        <w:t xml:space="preserve"> and therefore </w:t>
      </w:r>
      <w:r w:rsidR="00FF67E4">
        <w:t xml:space="preserve">on </w:t>
      </w:r>
      <w:r w:rsidR="00E63F86">
        <w:t xml:space="preserve">climate change. </w:t>
      </w:r>
      <w:r w:rsidR="001B4C9C">
        <w:t>Candidate indicators include:</w:t>
      </w:r>
    </w:p>
    <w:p w14:paraId="33EA97FB" w14:textId="77777777" w:rsidR="001B4C9C" w:rsidRDefault="001B4C9C" w:rsidP="000D6158">
      <w:pPr>
        <w:pStyle w:val="Listeafsnit"/>
        <w:numPr>
          <w:ilvl w:val="0"/>
          <w:numId w:val="9"/>
        </w:numPr>
        <w:spacing w:after="120" w:line="240" w:lineRule="auto"/>
        <w:contextualSpacing w:val="0"/>
      </w:pPr>
      <w:r>
        <w:t>For</w:t>
      </w:r>
      <w:r w:rsidR="003C06DA">
        <w:t xml:space="preserve"> </w:t>
      </w:r>
      <w:r>
        <w:t>policy,</w:t>
      </w:r>
      <w:r w:rsidR="00EA01DC">
        <w:t xml:space="preserve"> the existence</w:t>
      </w:r>
      <w:r w:rsidR="00B56163">
        <w:t xml:space="preserve"> of low-</w:t>
      </w:r>
      <w:r w:rsidR="00995DB2">
        <w:t xml:space="preserve">GHG </w:t>
      </w:r>
      <w:r w:rsidR="00B56163">
        <w:t>agricultural development policies or em</w:t>
      </w:r>
      <w:r>
        <w:t xml:space="preserve">issions management incentives; </w:t>
      </w:r>
    </w:p>
    <w:p w14:paraId="3B21C3CA" w14:textId="77777777" w:rsidR="001B4C9C" w:rsidRDefault="001B4C9C" w:rsidP="000D6158">
      <w:pPr>
        <w:pStyle w:val="Listeafsnit"/>
        <w:numPr>
          <w:ilvl w:val="0"/>
          <w:numId w:val="9"/>
        </w:numPr>
        <w:spacing w:after="120" w:line="240" w:lineRule="auto"/>
        <w:contextualSpacing w:val="0"/>
      </w:pPr>
      <w:r>
        <w:t xml:space="preserve">For practice, the </w:t>
      </w:r>
      <w:r w:rsidR="00EB38B0">
        <w:t xml:space="preserve">share </w:t>
      </w:r>
      <w:r w:rsidR="00B56163">
        <w:t xml:space="preserve">of </w:t>
      </w:r>
      <w:r w:rsidR="007C2BA8">
        <w:t>farms</w:t>
      </w:r>
      <w:r w:rsidR="00EB38B0">
        <w:t xml:space="preserve"> with</w:t>
      </w:r>
      <w:r w:rsidR="00B56163">
        <w:t xml:space="preserve"> GHG emissions management</w:t>
      </w:r>
      <w:r w:rsidR="007C2BA8">
        <w:t xml:space="preserve"> practices in place</w:t>
      </w:r>
      <w:r>
        <w:t>; and</w:t>
      </w:r>
    </w:p>
    <w:p w14:paraId="6AF49448" w14:textId="1960EF8E" w:rsidR="001B4C9C" w:rsidRDefault="001B4C9C" w:rsidP="000D6158">
      <w:pPr>
        <w:pStyle w:val="Listeafsnit"/>
        <w:numPr>
          <w:ilvl w:val="0"/>
          <w:numId w:val="9"/>
        </w:numPr>
        <w:spacing w:after="0" w:line="240" w:lineRule="auto"/>
        <w:contextualSpacing w:val="0"/>
      </w:pPr>
      <w:r>
        <w:t>For</w:t>
      </w:r>
      <w:r w:rsidR="00B56163">
        <w:t xml:space="preserve"> </w:t>
      </w:r>
      <w:r>
        <w:t xml:space="preserve">performance, </w:t>
      </w:r>
      <w:r w:rsidR="00E63F86">
        <w:t xml:space="preserve">the </w:t>
      </w:r>
      <w:r w:rsidR="003C06DA">
        <w:t>total GHG emissions from food production per ton of food produced</w:t>
      </w:r>
      <w:r w:rsidR="00B56163">
        <w:t>.</w:t>
      </w:r>
      <w:r w:rsidR="003C06DA">
        <w:t xml:space="preserve"> </w:t>
      </w:r>
    </w:p>
    <w:p w14:paraId="1D743025" w14:textId="77777777" w:rsidR="001B4C9C" w:rsidRDefault="001B4C9C" w:rsidP="001B4C9C">
      <w:pPr>
        <w:spacing w:after="0" w:line="240" w:lineRule="auto"/>
      </w:pPr>
    </w:p>
    <w:p w14:paraId="77B1F841" w14:textId="3CA71920" w:rsidR="002A4B9B" w:rsidRDefault="00D26092" w:rsidP="00D26092">
      <w:pPr>
        <w:spacing w:after="0" w:line="240" w:lineRule="auto"/>
      </w:pPr>
      <w:r>
        <w:t>G</w:t>
      </w:r>
      <w:r w:rsidR="00FB5398">
        <w:t xml:space="preserve">iven </w:t>
      </w:r>
      <w:r w:rsidR="008E5C0F">
        <w:t>that</w:t>
      </w:r>
      <w:r w:rsidR="00FB5398">
        <w:t xml:space="preserve"> GHG emissions are connected to many other agricultural </w:t>
      </w:r>
      <w:r w:rsidR="008E5C0F">
        <w:t>activities</w:t>
      </w:r>
      <w:r w:rsidR="00FB5398">
        <w:t xml:space="preserve"> covered in other themes, such as land-use conversion and soil erosion, </w:t>
      </w:r>
      <w:r w:rsidR="008E5C0F">
        <w:t xml:space="preserve">capturing environmental sustainability in other themes </w:t>
      </w:r>
      <w:r w:rsidR="008E5C0F">
        <w:lastRenderedPageBreak/>
        <w:t xml:space="preserve">could serve as a proxy for climate change, and thus the indicators presented here </w:t>
      </w:r>
      <w:r w:rsidR="00A21E41">
        <w:t xml:space="preserve">measure specific activities related to emissions and </w:t>
      </w:r>
      <w:r w:rsidR="00FF67E4">
        <w:t xml:space="preserve">can </w:t>
      </w:r>
      <w:r w:rsidR="008E5C0F">
        <w:t>reinforce the indicators in other themes.</w:t>
      </w:r>
    </w:p>
    <w:p w14:paraId="770B7EFE" w14:textId="77777777" w:rsidR="00D26092" w:rsidRPr="00F52789" w:rsidRDefault="00D26092" w:rsidP="00D26092">
      <w:pPr>
        <w:spacing w:after="0" w:line="240" w:lineRule="auto"/>
      </w:pPr>
    </w:p>
    <w:p w14:paraId="0F13D834" w14:textId="10B375D6" w:rsidR="00D26092" w:rsidRDefault="00E34B3F" w:rsidP="00D26092">
      <w:pPr>
        <w:spacing w:after="120" w:line="240" w:lineRule="auto"/>
      </w:pPr>
      <w:r w:rsidRPr="00D26092">
        <w:rPr>
          <w:b/>
          <w:i/>
          <w:color w:val="000099"/>
        </w:rPr>
        <w:t xml:space="preserve">Land </w:t>
      </w:r>
      <w:r w:rsidR="00DC7C14" w:rsidRPr="00D26092">
        <w:rPr>
          <w:b/>
          <w:i/>
          <w:color w:val="000099"/>
        </w:rPr>
        <w:t>conversion</w:t>
      </w:r>
    </w:p>
    <w:p w14:paraId="23C44B5E" w14:textId="77777777" w:rsidR="00D26092" w:rsidRDefault="00732623" w:rsidP="00D26092">
      <w:pPr>
        <w:spacing w:after="120" w:line="240" w:lineRule="auto"/>
      </w:pPr>
      <w:r>
        <w:t xml:space="preserve">This </w:t>
      </w:r>
      <w:r w:rsidR="00B56163">
        <w:t>theme</w:t>
      </w:r>
      <w:r>
        <w:t xml:space="preserve"> is intended to capture </w:t>
      </w:r>
      <w:r w:rsidR="00B56163">
        <w:t>indicators of agricultural pressure on land conversion</w:t>
      </w:r>
      <w:r w:rsidR="00FF67E4">
        <w:t xml:space="preserve">, which in turn can have implications for biodiversity, climate change, and other environmental </w:t>
      </w:r>
      <w:r w:rsidR="00D26092">
        <w:t>issues.</w:t>
      </w:r>
      <w:r w:rsidR="00B56163">
        <w:t xml:space="preserve"> </w:t>
      </w:r>
      <w:r w:rsidR="00FD5013">
        <w:t xml:space="preserve">The </w:t>
      </w:r>
      <w:r w:rsidR="007D38A1">
        <w:t>candidate</w:t>
      </w:r>
      <w:r w:rsidR="00FD5013">
        <w:t xml:space="preserve"> indicators for the </w:t>
      </w:r>
      <w:r w:rsidR="00DC7C14">
        <w:t>land conversion</w:t>
      </w:r>
      <w:r w:rsidR="00D26092">
        <w:t xml:space="preserve"> theme include:</w:t>
      </w:r>
    </w:p>
    <w:p w14:paraId="21D7425B" w14:textId="3323A158" w:rsidR="00D26092" w:rsidRDefault="00D26092" w:rsidP="000D6158">
      <w:pPr>
        <w:pStyle w:val="Listeafsnit"/>
        <w:numPr>
          <w:ilvl w:val="0"/>
          <w:numId w:val="10"/>
        </w:numPr>
        <w:spacing w:after="120" w:line="240" w:lineRule="auto"/>
        <w:contextualSpacing w:val="0"/>
      </w:pPr>
      <w:r>
        <w:t>F</w:t>
      </w:r>
      <w:r w:rsidR="00FD5013">
        <w:t xml:space="preserve">or policy, existence of </w:t>
      </w:r>
      <w:r w:rsidR="007C2BA8">
        <w:t>policies</w:t>
      </w:r>
      <w:r w:rsidR="00CA0F5A">
        <w:t xml:space="preserve"> </w:t>
      </w:r>
      <w:r w:rsidR="00B37B08">
        <w:t>limiting</w:t>
      </w:r>
      <w:r w:rsidR="00FD5013">
        <w:t xml:space="preserve"> conversion</w:t>
      </w:r>
      <w:r w:rsidR="007C2BA8">
        <w:t xml:space="preserve"> of natural ecosystems</w:t>
      </w:r>
      <w:r>
        <w:t xml:space="preserve"> to agriculture; and </w:t>
      </w:r>
    </w:p>
    <w:p w14:paraId="2AC5F22F" w14:textId="36A37384" w:rsidR="00D26092" w:rsidRDefault="00D26092" w:rsidP="000D6158">
      <w:pPr>
        <w:pStyle w:val="Listeafsnit"/>
        <w:numPr>
          <w:ilvl w:val="0"/>
          <w:numId w:val="10"/>
        </w:numPr>
        <w:spacing w:after="0" w:line="240" w:lineRule="auto"/>
        <w:contextualSpacing w:val="0"/>
      </w:pPr>
      <w:r>
        <w:t>F</w:t>
      </w:r>
      <w:r w:rsidR="00FD5013">
        <w:t xml:space="preserve">or performance, area of </w:t>
      </w:r>
      <w:r w:rsidR="00FF67E4">
        <w:t xml:space="preserve">natural </w:t>
      </w:r>
      <w:r w:rsidR="00FD5013">
        <w:t xml:space="preserve">land conversion </w:t>
      </w:r>
      <w:r w:rsidR="00FF67E4">
        <w:t>to or from agriculture.</w:t>
      </w:r>
      <w:r w:rsidR="00FD5013">
        <w:t xml:space="preserve"> </w:t>
      </w:r>
    </w:p>
    <w:p w14:paraId="37936FFC" w14:textId="77777777" w:rsidR="00D26092" w:rsidRDefault="00D26092" w:rsidP="00D26092">
      <w:pPr>
        <w:spacing w:after="0" w:line="240" w:lineRule="auto"/>
      </w:pPr>
    </w:p>
    <w:p w14:paraId="20A7A7E5" w14:textId="5AE0AF84" w:rsidR="00D26092" w:rsidRDefault="00D26092" w:rsidP="00D26092">
      <w:pPr>
        <w:spacing w:after="0" w:line="240" w:lineRule="auto"/>
      </w:pPr>
      <w:r>
        <w:t>N</w:t>
      </w:r>
      <w:r w:rsidR="00FD5013">
        <w:t xml:space="preserve">o practice indicators were included on the short list, as there </w:t>
      </w:r>
      <w:r w:rsidR="00FF67E4">
        <w:t xml:space="preserve">appear to be </w:t>
      </w:r>
      <w:r w:rsidR="00FD5013">
        <w:t xml:space="preserve">no </w:t>
      </w:r>
      <w:r w:rsidR="00EF7B60">
        <w:t xml:space="preserve">applicable </w:t>
      </w:r>
      <w:r w:rsidR="00C45733">
        <w:t xml:space="preserve">indicators of </w:t>
      </w:r>
      <w:r w:rsidR="00FD5013">
        <w:t xml:space="preserve">land conversion practices that would not already be captured </w:t>
      </w:r>
      <w:r w:rsidR="00FF67E4">
        <w:t>by</w:t>
      </w:r>
      <w:r w:rsidR="00FD5013">
        <w:t xml:space="preserve"> the performance indicator.</w:t>
      </w:r>
    </w:p>
    <w:p w14:paraId="78BA450C" w14:textId="77777777" w:rsidR="00D26092" w:rsidRDefault="00D26092" w:rsidP="00D26092">
      <w:pPr>
        <w:spacing w:after="0" w:line="240" w:lineRule="auto"/>
      </w:pPr>
    </w:p>
    <w:p w14:paraId="1281500D" w14:textId="77777777" w:rsidR="007C4BCF" w:rsidRPr="007C4BCF" w:rsidRDefault="007C4BCF" w:rsidP="007C4BCF">
      <w:pPr>
        <w:spacing w:after="120" w:line="240" w:lineRule="auto"/>
        <w:rPr>
          <w:b/>
          <w:i/>
          <w:color w:val="000099"/>
        </w:rPr>
      </w:pPr>
      <w:r w:rsidRPr="007C4BCF">
        <w:rPr>
          <w:b/>
          <w:i/>
          <w:color w:val="000099"/>
        </w:rPr>
        <w:t>Soil health</w:t>
      </w:r>
    </w:p>
    <w:p w14:paraId="520B30BA" w14:textId="125936C0" w:rsidR="007C4BCF" w:rsidRDefault="00FF67E4" w:rsidP="007C4BCF">
      <w:pPr>
        <w:spacing w:after="120" w:line="240" w:lineRule="auto"/>
      </w:pPr>
      <w:r>
        <w:t xml:space="preserve">This </w:t>
      </w:r>
      <w:r w:rsidR="00042BB5">
        <w:t>theme c</w:t>
      </w:r>
      <w:r w:rsidR="00DF199C">
        <w:t>over</w:t>
      </w:r>
      <w:r w:rsidR="00042BB5">
        <w:t xml:space="preserve">s indicators of the impact of agriculture </w:t>
      </w:r>
      <w:r w:rsidR="007C4BCF">
        <w:t xml:space="preserve">on soil health and productivity, including: </w:t>
      </w:r>
    </w:p>
    <w:p w14:paraId="7CB8669C" w14:textId="77777777" w:rsidR="007C4BCF" w:rsidRDefault="007C4BCF" w:rsidP="000D6158">
      <w:pPr>
        <w:pStyle w:val="Listeafsnit"/>
        <w:numPr>
          <w:ilvl w:val="0"/>
          <w:numId w:val="11"/>
        </w:numPr>
        <w:spacing w:after="120" w:line="240" w:lineRule="auto"/>
        <w:contextualSpacing w:val="0"/>
      </w:pPr>
      <w:r>
        <w:t xml:space="preserve">For policy, </w:t>
      </w:r>
      <w:r w:rsidR="00DF199C">
        <w:t xml:space="preserve">the existence of policies </w:t>
      </w:r>
      <w:r w:rsidR="007C2BA8">
        <w:t>promoting</w:t>
      </w:r>
      <w:r>
        <w:t xml:space="preserve"> soil conservation practices;</w:t>
      </w:r>
    </w:p>
    <w:p w14:paraId="6DC2435B" w14:textId="77777777" w:rsidR="007C4BCF" w:rsidRDefault="007C4BCF" w:rsidP="000D6158">
      <w:pPr>
        <w:pStyle w:val="Listeafsnit"/>
        <w:numPr>
          <w:ilvl w:val="0"/>
          <w:numId w:val="11"/>
        </w:numPr>
        <w:spacing w:after="120" w:line="240" w:lineRule="auto"/>
        <w:contextualSpacing w:val="0"/>
      </w:pPr>
      <w:r>
        <w:t xml:space="preserve">For practice, </w:t>
      </w:r>
      <w:r w:rsidR="007C2BA8">
        <w:t xml:space="preserve">share </w:t>
      </w:r>
      <w:r w:rsidR="00DF199C">
        <w:t xml:space="preserve">of farmland under soil conservation practices and/or </w:t>
      </w:r>
      <w:r w:rsidR="007C2BA8">
        <w:t>share</w:t>
      </w:r>
      <w:r w:rsidR="00DF199C">
        <w:t xml:space="preserve"> of farmland</w:t>
      </w:r>
      <w:r>
        <w:t xml:space="preserve"> under conservation agriculture; and </w:t>
      </w:r>
    </w:p>
    <w:p w14:paraId="1F09603D" w14:textId="3EA18001" w:rsidR="007C4BCF" w:rsidRDefault="007C4BCF" w:rsidP="000D6158">
      <w:pPr>
        <w:pStyle w:val="Listeafsnit"/>
        <w:numPr>
          <w:ilvl w:val="0"/>
          <w:numId w:val="11"/>
        </w:numPr>
        <w:spacing w:after="0" w:line="240" w:lineRule="auto"/>
      </w:pPr>
      <w:r>
        <w:t xml:space="preserve">For performance, </w:t>
      </w:r>
      <w:r w:rsidR="00DF199C">
        <w:t xml:space="preserve">area of </w:t>
      </w:r>
      <w:r w:rsidR="007C2BA8">
        <w:t>agricultural land</w:t>
      </w:r>
      <w:r w:rsidR="00A45998">
        <w:t xml:space="preserve"> affected by soil erosion, </w:t>
      </w:r>
      <w:r w:rsidR="00147C9D">
        <w:t xml:space="preserve">and/or percent change in net primary productivity (NPP) across agricultural land, and/or soil organic matter </w:t>
      </w:r>
      <w:r w:rsidR="00A45998">
        <w:t>(carbon</w:t>
      </w:r>
      <w:r w:rsidR="00147C9D">
        <w:t>)</w:t>
      </w:r>
      <w:r w:rsidR="00A45998">
        <w:t xml:space="preserve"> content.</w:t>
      </w:r>
    </w:p>
    <w:p w14:paraId="1D17B8E9" w14:textId="77777777" w:rsidR="007C4BCF" w:rsidRDefault="007C4BCF" w:rsidP="007C4BCF">
      <w:pPr>
        <w:spacing w:after="0" w:line="240" w:lineRule="auto"/>
      </w:pPr>
    </w:p>
    <w:p w14:paraId="26B0FE43" w14:textId="77777777" w:rsidR="007C4BCF" w:rsidRPr="007C4BCF" w:rsidRDefault="007C4BCF" w:rsidP="007C4BCF">
      <w:pPr>
        <w:spacing w:after="120" w:line="240" w:lineRule="auto"/>
        <w:rPr>
          <w:b/>
          <w:i/>
          <w:color w:val="000099"/>
        </w:rPr>
      </w:pPr>
      <w:r w:rsidRPr="007C4BCF">
        <w:rPr>
          <w:b/>
          <w:i/>
          <w:color w:val="000099"/>
        </w:rPr>
        <w:t>Nutrients</w:t>
      </w:r>
    </w:p>
    <w:p w14:paraId="489B1B7F" w14:textId="77777777" w:rsidR="007C4BCF" w:rsidRDefault="00FF67E4" w:rsidP="007C4BCF">
      <w:pPr>
        <w:spacing w:after="0" w:line="240" w:lineRule="auto"/>
      </w:pPr>
      <w:r>
        <w:t>This</w:t>
      </w:r>
      <w:r w:rsidR="00042BB5">
        <w:t xml:space="preserve"> theme </w:t>
      </w:r>
      <w:r w:rsidR="000409CC">
        <w:t>represents</w:t>
      </w:r>
      <w:r w:rsidR="00042BB5">
        <w:t xml:space="preserve"> indicators of environmental degradation </w:t>
      </w:r>
      <w:r>
        <w:t>caused by</w:t>
      </w:r>
      <w:r w:rsidR="007C4BCF">
        <w:t xml:space="preserve"> agricultural nutrient inputs, including:</w:t>
      </w:r>
      <w:r w:rsidR="008A159D">
        <w:t xml:space="preserve"> </w:t>
      </w:r>
    </w:p>
    <w:p w14:paraId="37CBA6B5" w14:textId="52BACF69" w:rsidR="007C4BCF" w:rsidRDefault="007C4BCF" w:rsidP="000D6158">
      <w:pPr>
        <w:pStyle w:val="Listeafsnit"/>
        <w:numPr>
          <w:ilvl w:val="0"/>
          <w:numId w:val="12"/>
        </w:numPr>
        <w:spacing w:after="120" w:line="240" w:lineRule="auto"/>
        <w:contextualSpacing w:val="0"/>
      </w:pPr>
      <w:r>
        <w:t xml:space="preserve">For policy, </w:t>
      </w:r>
      <w:r w:rsidR="00FF67E4">
        <w:t>the</w:t>
      </w:r>
      <w:r w:rsidR="008A159D">
        <w:t xml:space="preserve"> existence of</w:t>
      </w:r>
      <w:r w:rsidR="00EB38B0">
        <w:t xml:space="preserve"> policies or</w:t>
      </w:r>
      <w:r w:rsidR="008A159D">
        <w:t xml:space="preserve"> incentives</w:t>
      </w:r>
      <w:r w:rsidR="00EB38B0">
        <w:t xml:space="preserve"> to promote</w:t>
      </w:r>
      <w:r>
        <w:t xml:space="preserve"> nutrient management practices; </w:t>
      </w:r>
    </w:p>
    <w:p w14:paraId="7693DC01" w14:textId="77777777" w:rsidR="007C4BCF" w:rsidRDefault="007C4BCF" w:rsidP="000D6158">
      <w:pPr>
        <w:pStyle w:val="Listeafsnit"/>
        <w:numPr>
          <w:ilvl w:val="0"/>
          <w:numId w:val="12"/>
        </w:numPr>
        <w:spacing w:after="120" w:line="240" w:lineRule="auto"/>
        <w:contextualSpacing w:val="0"/>
      </w:pPr>
      <w:r>
        <w:t xml:space="preserve">For practice, </w:t>
      </w:r>
      <w:r w:rsidR="00FF67E4">
        <w:t xml:space="preserve">the </w:t>
      </w:r>
      <w:r w:rsidR="00F54C2F">
        <w:t xml:space="preserve">share </w:t>
      </w:r>
      <w:r w:rsidR="008A159D">
        <w:t xml:space="preserve">of </w:t>
      </w:r>
      <w:r w:rsidR="007C2BA8">
        <w:t xml:space="preserve">agricultural </w:t>
      </w:r>
      <w:r w:rsidR="008A159D">
        <w:t xml:space="preserve">land </w:t>
      </w:r>
      <w:r w:rsidR="00F54C2F">
        <w:t>practicing nutrient management</w:t>
      </w:r>
      <w:r>
        <w:t xml:space="preserve">; and </w:t>
      </w:r>
    </w:p>
    <w:p w14:paraId="6B274F2B" w14:textId="54B877F6" w:rsidR="007C4BCF" w:rsidRDefault="000E57D8" w:rsidP="000D6158">
      <w:pPr>
        <w:pStyle w:val="Listeafsnit"/>
        <w:numPr>
          <w:ilvl w:val="0"/>
          <w:numId w:val="12"/>
        </w:numPr>
        <w:spacing w:after="0" w:line="240" w:lineRule="auto"/>
      </w:pPr>
      <w:r>
        <w:t>F</w:t>
      </w:r>
      <w:r w:rsidR="008A159D">
        <w:t xml:space="preserve">or performance, nutrient input balances (i.e., ratio of inputs to outputs) and/or fertilizer </w:t>
      </w:r>
      <w:r w:rsidR="00072D16">
        <w:t>applied</w:t>
      </w:r>
      <w:r w:rsidR="008A159D">
        <w:t xml:space="preserve"> per unit of </w:t>
      </w:r>
      <w:r w:rsidR="00F54C2F">
        <w:t xml:space="preserve">arable </w:t>
      </w:r>
      <w:r w:rsidR="008A159D">
        <w:t xml:space="preserve">land. </w:t>
      </w:r>
      <w:r w:rsidR="00405FD2">
        <w:t xml:space="preserve"> </w:t>
      </w:r>
    </w:p>
    <w:p w14:paraId="68E84A5D" w14:textId="77777777" w:rsidR="007C4BCF" w:rsidRDefault="007C4BCF" w:rsidP="007C4BCF">
      <w:pPr>
        <w:spacing w:after="0" w:line="240" w:lineRule="auto"/>
      </w:pPr>
    </w:p>
    <w:p w14:paraId="4A6C562A" w14:textId="228B324C" w:rsidR="007C4BCF" w:rsidRPr="007C4BCF" w:rsidRDefault="007C4BCF" w:rsidP="007C4BCF">
      <w:pPr>
        <w:spacing w:after="120" w:line="240" w:lineRule="auto"/>
        <w:rPr>
          <w:i/>
          <w:color w:val="000099"/>
        </w:rPr>
      </w:pPr>
      <w:r w:rsidRPr="007C4BCF">
        <w:rPr>
          <w:b/>
          <w:i/>
          <w:color w:val="000099"/>
        </w:rPr>
        <w:t>Pesticides</w:t>
      </w:r>
    </w:p>
    <w:p w14:paraId="6D3803C2" w14:textId="77777777" w:rsidR="007C4BCF" w:rsidRDefault="000E57D8" w:rsidP="007C4BCF">
      <w:pPr>
        <w:spacing w:after="120" w:line="240" w:lineRule="auto"/>
      </w:pPr>
      <w:r>
        <w:t>This</w:t>
      </w:r>
      <w:r w:rsidR="00042BB5">
        <w:t xml:space="preserve"> theme </w:t>
      </w:r>
      <w:r w:rsidR="00DE611F">
        <w:t>covers</w:t>
      </w:r>
      <w:r w:rsidR="00042BB5">
        <w:t xml:space="preserve"> indicators of the environmental impac</w:t>
      </w:r>
      <w:r w:rsidR="007C4BCF">
        <w:t>t of agricultural pesticide use, including:</w:t>
      </w:r>
    </w:p>
    <w:p w14:paraId="69CCAE13" w14:textId="77777777" w:rsidR="007C4BCF" w:rsidRDefault="007C4BCF" w:rsidP="000D6158">
      <w:pPr>
        <w:pStyle w:val="Listeafsnit"/>
        <w:numPr>
          <w:ilvl w:val="0"/>
          <w:numId w:val="13"/>
        </w:numPr>
        <w:spacing w:after="120" w:line="240" w:lineRule="auto"/>
        <w:contextualSpacing w:val="0"/>
      </w:pPr>
      <w:r>
        <w:t xml:space="preserve">For policy, </w:t>
      </w:r>
      <w:r w:rsidR="00DE611F">
        <w:t xml:space="preserve">the degree to which </w:t>
      </w:r>
      <w:r w:rsidR="000E57D8">
        <w:t>the country has</w:t>
      </w:r>
      <w:r w:rsidR="00DE611F">
        <w:t xml:space="preserve"> </w:t>
      </w:r>
      <w:r w:rsidR="00EA01DC">
        <w:t>regulated</w:t>
      </w:r>
      <w:r w:rsidR="00DE611F">
        <w:t xml:space="preserve"> the most toxic pesticides</w:t>
      </w:r>
      <w:r w:rsidR="00EA01DC">
        <w:t xml:space="preserve"> (according to </w:t>
      </w:r>
      <w:r w:rsidR="00DE611F">
        <w:t>the Stockholm Convention</w:t>
      </w:r>
      <w:r w:rsidR="00EA01DC">
        <w:t>)</w:t>
      </w:r>
      <w:r>
        <w:t>;</w:t>
      </w:r>
    </w:p>
    <w:p w14:paraId="5B542576" w14:textId="77777777" w:rsidR="007C4BCF" w:rsidRDefault="007C4BCF" w:rsidP="000D6158">
      <w:pPr>
        <w:pStyle w:val="Listeafsnit"/>
        <w:numPr>
          <w:ilvl w:val="0"/>
          <w:numId w:val="13"/>
        </w:numPr>
        <w:spacing w:after="120" w:line="240" w:lineRule="auto"/>
        <w:contextualSpacing w:val="0"/>
      </w:pPr>
      <w:r>
        <w:t>For practice, the share of cropland under integrated pest management; and</w:t>
      </w:r>
    </w:p>
    <w:p w14:paraId="1035281C" w14:textId="43DEEACA" w:rsidR="007C4BCF" w:rsidRDefault="007C4BCF" w:rsidP="000D6158">
      <w:pPr>
        <w:pStyle w:val="Listeafsnit"/>
        <w:numPr>
          <w:ilvl w:val="0"/>
          <w:numId w:val="13"/>
        </w:numPr>
        <w:spacing w:after="0" w:line="240" w:lineRule="auto"/>
      </w:pPr>
      <w:r>
        <w:t xml:space="preserve">For performance, </w:t>
      </w:r>
      <w:r w:rsidR="00DE611F">
        <w:t>the extent of pestici</w:t>
      </w:r>
      <w:r>
        <w:t xml:space="preserve">de use </w:t>
      </w:r>
      <w:r w:rsidR="00072D16">
        <w:t>per unit of</w:t>
      </w:r>
      <w:r>
        <w:t xml:space="preserve"> cultivated land.</w:t>
      </w:r>
    </w:p>
    <w:p w14:paraId="1AD6E8DE" w14:textId="77777777" w:rsidR="00EA29BD" w:rsidRDefault="00EA29BD" w:rsidP="00B22569">
      <w:pPr>
        <w:spacing w:line="240" w:lineRule="auto"/>
        <w:sectPr w:rsidR="00EA29BD">
          <w:endnotePr>
            <w:numFmt w:val="decimal"/>
          </w:endnotePr>
          <w:pgSz w:w="12240" w:h="15840"/>
          <w:pgMar w:top="1440" w:right="1440" w:bottom="1440" w:left="1440" w:header="720" w:footer="720" w:gutter="0"/>
          <w:cols w:space="720"/>
          <w:docGrid w:linePitch="360"/>
        </w:sectPr>
      </w:pPr>
    </w:p>
    <w:p w14:paraId="048B510E" w14:textId="4A30704A" w:rsidR="000B0836" w:rsidRDefault="000B0836" w:rsidP="000B0836">
      <w:pPr>
        <w:spacing w:after="0" w:line="240" w:lineRule="auto"/>
        <w:ind w:left="-540"/>
        <w:rPr>
          <w:b/>
        </w:rPr>
      </w:pPr>
      <w:bookmarkStart w:id="29" w:name="_Toc352660942"/>
      <w:bookmarkStart w:id="30" w:name="_Toc352327334"/>
      <w:r>
        <w:rPr>
          <w:b/>
        </w:rPr>
        <w:lastRenderedPageBreak/>
        <w:t>Table 5</w:t>
      </w:r>
      <w:r w:rsidRPr="002153B7">
        <w:rPr>
          <w:b/>
        </w:rPr>
        <w:t xml:space="preserve">. Summary of </w:t>
      </w:r>
      <w:r>
        <w:rPr>
          <w:b/>
        </w:rPr>
        <w:t>first draft candidate</w:t>
      </w:r>
      <w:r w:rsidRPr="002153B7">
        <w:rPr>
          <w:b/>
        </w:rPr>
        <w:t xml:space="preserve"> environmental sustainability indicators</w:t>
      </w:r>
      <w:r>
        <w:rPr>
          <w:b/>
        </w:rPr>
        <w:t xml:space="preserve"> at the country level</w:t>
      </w:r>
      <w:r w:rsidRPr="002153B7">
        <w:rPr>
          <w:b/>
        </w:rPr>
        <w:t xml:space="preserve"> </w:t>
      </w:r>
      <w:r w:rsidRPr="00457D59">
        <w:rPr>
          <w:b/>
          <w:color w:val="000099"/>
        </w:rPr>
        <w:t>(unit of measure)</w:t>
      </w:r>
    </w:p>
    <w:p w14:paraId="6FB130AE" w14:textId="77777777" w:rsidR="000B0836" w:rsidRPr="00457D59" w:rsidRDefault="000B0836" w:rsidP="000B0836">
      <w:pPr>
        <w:spacing w:after="0" w:line="240" w:lineRule="auto"/>
        <w:rPr>
          <w:b/>
        </w:rPr>
      </w:pPr>
    </w:p>
    <w:tbl>
      <w:tblPr>
        <w:tblStyle w:val="Tabel-Gitter"/>
        <w:tblW w:w="1422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2130"/>
        <w:gridCol w:w="270"/>
        <w:gridCol w:w="1350"/>
        <w:gridCol w:w="1800"/>
        <w:gridCol w:w="2250"/>
        <w:gridCol w:w="2880"/>
        <w:gridCol w:w="2250"/>
      </w:tblGrid>
      <w:tr w:rsidR="000B0836" w:rsidRPr="00457D59" w14:paraId="384FC3A7" w14:textId="77777777" w:rsidTr="00871047">
        <w:tc>
          <w:tcPr>
            <w:tcW w:w="1290" w:type="dxa"/>
          </w:tcPr>
          <w:p w14:paraId="7BA57A4E" w14:textId="77777777" w:rsidR="000B0836" w:rsidRPr="00871047" w:rsidRDefault="000B0836" w:rsidP="0084021B">
            <w:pPr>
              <w:rPr>
                <w:b/>
                <w:sz w:val="18"/>
              </w:rPr>
            </w:pPr>
          </w:p>
        </w:tc>
        <w:tc>
          <w:tcPr>
            <w:tcW w:w="2400" w:type="dxa"/>
            <w:gridSpan w:val="2"/>
          </w:tcPr>
          <w:p w14:paraId="16520AEF" w14:textId="77777777" w:rsidR="000B0836" w:rsidRPr="00871047" w:rsidRDefault="000B0836" w:rsidP="0084021B">
            <w:pPr>
              <w:rPr>
                <w:b/>
                <w:sz w:val="18"/>
              </w:rPr>
            </w:pPr>
          </w:p>
        </w:tc>
        <w:tc>
          <w:tcPr>
            <w:tcW w:w="1350" w:type="dxa"/>
          </w:tcPr>
          <w:p w14:paraId="647A2B65" w14:textId="77777777" w:rsidR="000B0836" w:rsidRPr="00871047" w:rsidRDefault="000B0836" w:rsidP="0084021B">
            <w:pPr>
              <w:rPr>
                <w:b/>
                <w:sz w:val="18"/>
              </w:rPr>
            </w:pPr>
          </w:p>
        </w:tc>
        <w:tc>
          <w:tcPr>
            <w:tcW w:w="1800" w:type="dxa"/>
          </w:tcPr>
          <w:p w14:paraId="3DDFA0DA" w14:textId="77777777" w:rsidR="000B0836" w:rsidRPr="00871047" w:rsidRDefault="000B0836" w:rsidP="0084021B">
            <w:pPr>
              <w:rPr>
                <w:b/>
                <w:sz w:val="18"/>
              </w:rPr>
            </w:pPr>
          </w:p>
        </w:tc>
        <w:tc>
          <w:tcPr>
            <w:tcW w:w="2250" w:type="dxa"/>
          </w:tcPr>
          <w:p w14:paraId="472A98E5" w14:textId="77777777" w:rsidR="000B0836" w:rsidRPr="00871047" w:rsidRDefault="000B0836" w:rsidP="0084021B">
            <w:pPr>
              <w:rPr>
                <w:b/>
                <w:sz w:val="18"/>
              </w:rPr>
            </w:pPr>
          </w:p>
        </w:tc>
        <w:tc>
          <w:tcPr>
            <w:tcW w:w="5130" w:type="dxa"/>
            <w:gridSpan w:val="2"/>
            <w:tcBorders>
              <w:bottom w:val="single" w:sz="4" w:space="0" w:color="auto"/>
            </w:tcBorders>
          </w:tcPr>
          <w:p w14:paraId="483870E4" w14:textId="77777777" w:rsidR="000B0836" w:rsidRPr="00871047" w:rsidRDefault="000B0836" w:rsidP="0084021B">
            <w:pPr>
              <w:jc w:val="center"/>
              <w:rPr>
                <w:b/>
                <w:sz w:val="18"/>
              </w:rPr>
            </w:pPr>
            <w:r w:rsidRPr="00871047">
              <w:rPr>
                <w:b/>
                <w:sz w:val="18"/>
              </w:rPr>
              <w:t>Pollution</w:t>
            </w:r>
          </w:p>
        </w:tc>
      </w:tr>
      <w:tr w:rsidR="000B0836" w:rsidRPr="00457D59" w14:paraId="25A23389" w14:textId="77777777" w:rsidTr="00871047">
        <w:tc>
          <w:tcPr>
            <w:tcW w:w="1290" w:type="dxa"/>
            <w:tcBorders>
              <w:bottom w:val="single" w:sz="4" w:space="0" w:color="auto"/>
            </w:tcBorders>
          </w:tcPr>
          <w:p w14:paraId="6711BBED" w14:textId="77777777" w:rsidR="000B0836" w:rsidRPr="00871047" w:rsidRDefault="000B0836" w:rsidP="0084021B">
            <w:pPr>
              <w:rPr>
                <w:b/>
                <w:sz w:val="18"/>
              </w:rPr>
            </w:pPr>
          </w:p>
        </w:tc>
        <w:tc>
          <w:tcPr>
            <w:tcW w:w="2130" w:type="dxa"/>
            <w:tcBorders>
              <w:bottom w:val="single" w:sz="4" w:space="0" w:color="auto"/>
            </w:tcBorders>
          </w:tcPr>
          <w:p w14:paraId="2E636045" w14:textId="77777777" w:rsidR="000B0836" w:rsidRPr="00871047" w:rsidRDefault="000B0836" w:rsidP="0084021B">
            <w:pPr>
              <w:rPr>
                <w:b/>
                <w:sz w:val="18"/>
              </w:rPr>
            </w:pPr>
            <w:r w:rsidRPr="00871047">
              <w:rPr>
                <w:b/>
                <w:sz w:val="18"/>
              </w:rPr>
              <w:t>Water</w:t>
            </w:r>
          </w:p>
        </w:tc>
        <w:tc>
          <w:tcPr>
            <w:tcW w:w="1620" w:type="dxa"/>
            <w:gridSpan w:val="2"/>
            <w:tcBorders>
              <w:bottom w:val="single" w:sz="4" w:space="0" w:color="auto"/>
            </w:tcBorders>
          </w:tcPr>
          <w:p w14:paraId="3571037F" w14:textId="77777777" w:rsidR="000B0836" w:rsidRPr="00871047" w:rsidRDefault="000B0836" w:rsidP="0084021B">
            <w:pPr>
              <w:rPr>
                <w:b/>
                <w:sz w:val="18"/>
              </w:rPr>
            </w:pPr>
            <w:r w:rsidRPr="00871047">
              <w:rPr>
                <w:b/>
                <w:sz w:val="18"/>
              </w:rPr>
              <w:t>Climate change</w:t>
            </w:r>
          </w:p>
        </w:tc>
        <w:tc>
          <w:tcPr>
            <w:tcW w:w="1800" w:type="dxa"/>
            <w:tcBorders>
              <w:bottom w:val="single" w:sz="4" w:space="0" w:color="auto"/>
            </w:tcBorders>
          </w:tcPr>
          <w:p w14:paraId="4B9FDD1A" w14:textId="77777777" w:rsidR="000B0836" w:rsidRPr="00871047" w:rsidRDefault="000B0836" w:rsidP="0084021B">
            <w:pPr>
              <w:rPr>
                <w:b/>
                <w:sz w:val="18"/>
              </w:rPr>
            </w:pPr>
            <w:r w:rsidRPr="00871047">
              <w:rPr>
                <w:b/>
                <w:sz w:val="18"/>
              </w:rPr>
              <w:t>Land conversion</w:t>
            </w:r>
          </w:p>
        </w:tc>
        <w:tc>
          <w:tcPr>
            <w:tcW w:w="2250" w:type="dxa"/>
            <w:tcBorders>
              <w:bottom w:val="single" w:sz="4" w:space="0" w:color="auto"/>
            </w:tcBorders>
          </w:tcPr>
          <w:p w14:paraId="4EF2109A" w14:textId="77777777" w:rsidR="000B0836" w:rsidRPr="00871047" w:rsidRDefault="000B0836" w:rsidP="0084021B">
            <w:pPr>
              <w:rPr>
                <w:b/>
                <w:sz w:val="18"/>
              </w:rPr>
            </w:pPr>
            <w:r w:rsidRPr="00871047">
              <w:rPr>
                <w:b/>
                <w:sz w:val="18"/>
              </w:rPr>
              <w:t>Soil health</w:t>
            </w:r>
          </w:p>
        </w:tc>
        <w:tc>
          <w:tcPr>
            <w:tcW w:w="2880" w:type="dxa"/>
            <w:tcBorders>
              <w:top w:val="single" w:sz="4" w:space="0" w:color="auto"/>
              <w:bottom w:val="single" w:sz="4" w:space="0" w:color="auto"/>
            </w:tcBorders>
          </w:tcPr>
          <w:p w14:paraId="3773BBD6" w14:textId="77777777" w:rsidR="000B0836" w:rsidRPr="00871047" w:rsidRDefault="000B0836" w:rsidP="0084021B">
            <w:pPr>
              <w:rPr>
                <w:b/>
                <w:sz w:val="18"/>
              </w:rPr>
            </w:pPr>
            <w:r w:rsidRPr="00871047">
              <w:rPr>
                <w:b/>
                <w:sz w:val="18"/>
              </w:rPr>
              <w:t>Nutrients</w:t>
            </w:r>
          </w:p>
        </w:tc>
        <w:tc>
          <w:tcPr>
            <w:tcW w:w="2250" w:type="dxa"/>
            <w:tcBorders>
              <w:top w:val="single" w:sz="4" w:space="0" w:color="auto"/>
              <w:bottom w:val="single" w:sz="4" w:space="0" w:color="auto"/>
            </w:tcBorders>
          </w:tcPr>
          <w:p w14:paraId="6DF9DD0D" w14:textId="77777777" w:rsidR="000B0836" w:rsidRPr="00457D59" w:rsidRDefault="000B0836" w:rsidP="0084021B">
            <w:pPr>
              <w:rPr>
                <w:b/>
                <w:sz w:val="20"/>
                <w:szCs w:val="20"/>
              </w:rPr>
            </w:pPr>
            <w:r w:rsidRPr="00457D59">
              <w:rPr>
                <w:b/>
                <w:sz w:val="20"/>
                <w:szCs w:val="20"/>
              </w:rPr>
              <w:t>Pesticides</w:t>
            </w:r>
          </w:p>
        </w:tc>
      </w:tr>
      <w:tr w:rsidR="000B0836" w:rsidRPr="00457D59" w14:paraId="75AF0913" w14:textId="77777777" w:rsidTr="00871047">
        <w:trPr>
          <w:trHeight w:val="1970"/>
        </w:trPr>
        <w:tc>
          <w:tcPr>
            <w:tcW w:w="1290" w:type="dxa"/>
          </w:tcPr>
          <w:p w14:paraId="5A9FD354" w14:textId="77777777" w:rsidR="000B0836" w:rsidRPr="00871047" w:rsidRDefault="000B0836" w:rsidP="0084021B">
            <w:pPr>
              <w:rPr>
                <w:b/>
                <w:sz w:val="18"/>
              </w:rPr>
            </w:pPr>
            <w:r w:rsidRPr="00871047">
              <w:rPr>
                <w:b/>
                <w:sz w:val="18"/>
              </w:rPr>
              <w:t>Policy</w:t>
            </w:r>
          </w:p>
        </w:tc>
        <w:tc>
          <w:tcPr>
            <w:tcW w:w="2130" w:type="dxa"/>
          </w:tcPr>
          <w:p w14:paraId="407B1F13" w14:textId="77777777" w:rsidR="000B0836" w:rsidRPr="00871047" w:rsidRDefault="000B0836" w:rsidP="0084021B">
            <w:pPr>
              <w:rPr>
                <w:sz w:val="18"/>
              </w:rPr>
            </w:pPr>
            <w:r w:rsidRPr="00871047">
              <w:rPr>
                <w:sz w:val="18"/>
              </w:rPr>
              <w:t xml:space="preserve">Existence of policies requiring measurement of agricultural water withdrawals* </w:t>
            </w:r>
            <w:r w:rsidRPr="00871047">
              <w:rPr>
                <w:color w:val="000099"/>
                <w:sz w:val="18"/>
              </w:rPr>
              <w:t>(Yes/No)</w:t>
            </w:r>
          </w:p>
        </w:tc>
        <w:tc>
          <w:tcPr>
            <w:tcW w:w="1620" w:type="dxa"/>
            <w:gridSpan w:val="2"/>
          </w:tcPr>
          <w:p w14:paraId="4E63E269" w14:textId="77777777" w:rsidR="000B0836" w:rsidRPr="00871047" w:rsidRDefault="000B0836" w:rsidP="0084021B">
            <w:pPr>
              <w:rPr>
                <w:sz w:val="18"/>
              </w:rPr>
            </w:pPr>
            <w:r w:rsidRPr="00871047">
              <w:rPr>
                <w:sz w:val="18"/>
              </w:rPr>
              <w:t xml:space="preserve">Existence of policies promoting low-GHG agricultural development* </w:t>
            </w:r>
          </w:p>
          <w:p w14:paraId="68F1AD0F" w14:textId="77777777" w:rsidR="000B0836" w:rsidRPr="00871047" w:rsidRDefault="000B0836" w:rsidP="0084021B">
            <w:pPr>
              <w:rPr>
                <w:sz w:val="18"/>
              </w:rPr>
            </w:pPr>
            <w:r w:rsidRPr="00871047">
              <w:rPr>
                <w:color w:val="000099"/>
                <w:sz w:val="18"/>
              </w:rPr>
              <w:t>(Yes/No)</w:t>
            </w:r>
          </w:p>
        </w:tc>
        <w:tc>
          <w:tcPr>
            <w:tcW w:w="1800" w:type="dxa"/>
          </w:tcPr>
          <w:p w14:paraId="1A890D44" w14:textId="59E219BA" w:rsidR="000B0836" w:rsidRPr="00871047" w:rsidRDefault="000B0836" w:rsidP="0084021B">
            <w:pPr>
              <w:rPr>
                <w:sz w:val="18"/>
              </w:rPr>
            </w:pPr>
            <w:r w:rsidRPr="00871047">
              <w:rPr>
                <w:sz w:val="18"/>
              </w:rPr>
              <w:t xml:space="preserve">Existence of policies </w:t>
            </w:r>
            <w:r w:rsidR="00072D16" w:rsidRPr="00147C9D">
              <w:rPr>
                <w:sz w:val="18"/>
                <w:szCs w:val="18"/>
              </w:rPr>
              <w:t>limiting</w:t>
            </w:r>
            <w:r w:rsidRPr="00871047">
              <w:rPr>
                <w:sz w:val="18"/>
              </w:rPr>
              <w:t xml:space="preserve"> conversion of natural ecosystems to agriculture*</w:t>
            </w:r>
          </w:p>
          <w:p w14:paraId="16CEA400" w14:textId="77777777" w:rsidR="000B0836" w:rsidRPr="00871047" w:rsidRDefault="000B0836" w:rsidP="0084021B">
            <w:pPr>
              <w:rPr>
                <w:sz w:val="18"/>
              </w:rPr>
            </w:pPr>
            <w:r w:rsidRPr="00871047">
              <w:rPr>
                <w:color w:val="000099"/>
                <w:sz w:val="18"/>
              </w:rPr>
              <w:t>(Yes/No)</w:t>
            </w:r>
          </w:p>
        </w:tc>
        <w:tc>
          <w:tcPr>
            <w:tcW w:w="2250" w:type="dxa"/>
          </w:tcPr>
          <w:p w14:paraId="1076539E" w14:textId="77777777" w:rsidR="000B0836" w:rsidRPr="00871047" w:rsidRDefault="000B0836" w:rsidP="0084021B">
            <w:pPr>
              <w:rPr>
                <w:sz w:val="18"/>
              </w:rPr>
            </w:pPr>
            <w:r w:rsidRPr="00871047">
              <w:rPr>
                <w:sz w:val="18"/>
              </w:rPr>
              <w:t xml:space="preserve">Existence of policies promoting agricultural soil conservation practices* </w:t>
            </w:r>
          </w:p>
          <w:p w14:paraId="2672900B" w14:textId="77777777" w:rsidR="000B0836" w:rsidRPr="00871047" w:rsidRDefault="000B0836" w:rsidP="0084021B">
            <w:pPr>
              <w:rPr>
                <w:sz w:val="18"/>
              </w:rPr>
            </w:pPr>
            <w:r w:rsidRPr="00871047">
              <w:rPr>
                <w:color w:val="000099"/>
                <w:sz w:val="18"/>
              </w:rPr>
              <w:t>(Yes/No)</w:t>
            </w:r>
          </w:p>
        </w:tc>
        <w:tc>
          <w:tcPr>
            <w:tcW w:w="2880" w:type="dxa"/>
          </w:tcPr>
          <w:p w14:paraId="140CBFF4" w14:textId="77777777" w:rsidR="000B0836" w:rsidRPr="00871047" w:rsidRDefault="000B0836" w:rsidP="0084021B">
            <w:pPr>
              <w:spacing w:after="60"/>
              <w:rPr>
                <w:sz w:val="18"/>
              </w:rPr>
            </w:pPr>
            <w:r w:rsidRPr="00871047">
              <w:rPr>
                <w:sz w:val="18"/>
              </w:rPr>
              <w:t xml:space="preserve">Existence of policies promoting nutrient management practices* </w:t>
            </w:r>
            <w:r w:rsidRPr="00871047">
              <w:rPr>
                <w:color w:val="000099"/>
                <w:sz w:val="18"/>
              </w:rPr>
              <w:t>(Yes/No)</w:t>
            </w:r>
          </w:p>
        </w:tc>
        <w:tc>
          <w:tcPr>
            <w:tcW w:w="2250" w:type="dxa"/>
          </w:tcPr>
          <w:p w14:paraId="482CB1D5" w14:textId="77777777" w:rsidR="000B0836" w:rsidRPr="00457D59" w:rsidRDefault="000B0836" w:rsidP="0084021B">
            <w:pPr>
              <w:rPr>
                <w:sz w:val="20"/>
                <w:szCs w:val="20"/>
              </w:rPr>
            </w:pPr>
            <w:r w:rsidRPr="00457D59">
              <w:rPr>
                <w:sz w:val="20"/>
                <w:szCs w:val="20"/>
              </w:rPr>
              <w:t xml:space="preserve">Degree to which the country has limited or outlawed the most toxic pesticides according to the Stockholm Convention </w:t>
            </w:r>
            <w:r w:rsidRPr="00457D59">
              <w:rPr>
                <w:color w:val="000099"/>
                <w:sz w:val="20"/>
                <w:szCs w:val="20"/>
              </w:rPr>
              <w:t>(22 point scale</w:t>
            </w:r>
            <w:r w:rsidRPr="00457D59">
              <w:rPr>
                <w:rStyle w:val="Fodnotehenvisning"/>
                <w:color w:val="000099"/>
                <w:sz w:val="20"/>
                <w:szCs w:val="20"/>
              </w:rPr>
              <w:footnoteReference w:id="3"/>
            </w:r>
            <w:r w:rsidRPr="00457D59">
              <w:rPr>
                <w:color w:val="000099"/>
                <w:sz w:val="20"/>
                <w:szCs w:val="20"/>
              </w:rPr>
              <w:t>)</w:t>
            </w:r>
          </w:p>
        </w:tc>
      </w:tr>
      <w:tr w:rsidR="000B0836" w:rsidRPr="00457D59" w14:paraId="42EAC3F6" w14:textId="77777777" w:rsidTr="00871047">
        <w:trPr>
          <w:trHeight w:val="2205"/>
        </w:trPr>
        <w:tc>
          <w:tcPr>
            <w:tcW w:w="1290" w:type="dxa"/>
          </w:tcPr>
          <w:p w14:paraId="56FC0FCB" w14:textId="77777777" w:rsidR="000B0836" w:rsidRPr="00871047" w:rsidRDefault="000B0836" w:rsidP="0084021B">
            <w:pPr>
              <w:rPr>
                <w:b/>
                <w:sz w:val="18"/>
              </w:rPr>
            </w:pPr>
            <w:r w:rsidRPr="00871047">
              <w:rPr>
                <w:b/>
                <w:sz w:val="18"/>
              </w:rPr>
              <w:t>Practice</w:t>
            </w:r>
          </w:p>
        </w:tc>
        <w:tc>
          <w:tcPr>
            <w:tcW w:w="2130" w:type="dxa"/>
          </w:tcPr>
          <w:p w14:paraId="1EF6BC2F" w14:textId="77777777" w:rsidR="000B0836" w:rsidRPr="00871047" w:rsidRDefault="000B0836" w:rsidP="0084021B">
            <w:pPr>
              <w:rPr>
                <w:sz w:val="18"/>
              </w:rPr>
            </w:pPr>
            <w:r w:rsidRPr="00871047">
              <w:rPr>
                <w:sz w:val="18"/>
              </w:rPr>
              <w:t xml:space="preserve">Share of cropland area with efficient irrigation practices in place* </w:t>
            </w:r>
            <w:r w:rsidRPr="00871047">
              <w:rPr>
                <w:color w:val="000099"/>
                <w:sz w:val="18"/>
              </w:rPr>
              <w:t>(percent)</w:t>
            </w:r>
          </w:p>
        </w:tc>
        <w:tc>
          <w:tcPr>
            <w:tcW w:w="1620" w:type="dxa"/>
            <w:gridSpan w:val="2"/>
          </w:tcPr>
          <w:p w14:paraId="7A9E1DF4" w14:textId="77777777" w:rsidR="000B0836" w:rsidRPr="00871047" w:rsidRDefault="000B0836" w:rsidP="0084021B">
            <w:pPr>
              <w:rPr>
                <w:sz w:val="18"/>
              </w:rPr>
            </w:pPr>
            <w:r w:rsidRPr="00871047">
              <w:rPr>
                <w:sz w:val="18"/>
              </w:rPr>
              <w:t xml:space="preserve">Share of farm area with agricultural GHG emissions management practices* </w:t>
            </w:r>
            <w:r w:rsidRPr="00871047">
              <w:rPr>
                <w:color w:val="000099"/>
                <w:sz w:val="18"/>
              </w:rPr>
              <w:t>(percent)</w:t>
            </w:r>
          </w:p>
        </w:tc>
        <w:tc>
          <w:tcPr>
            <w:tcW w:w="1800" w:type="dxa"/>
          </w:tcPr>
          <w:p w14:paraId="1EF01367" w14:textId="77777777" w:rsidR="000B0836" w:rsidRPr="00871047" w:rsidRDefault="000B0836" w:rsidP="0084021B">
            <w:pPr>
              <w:rPr>
                <w:sz w:val="18"/>
              </w:rPr>
            </w:pPr>
            <w:r w:rsidRPr="00871047">
              <w:rPr>
                <w:sz w:val="18"/>
              </w:rPr>
              <w:t>n/a</w:t>
            </w:r>
          </w:p>
        </w:tc>
        <w:tc>
          <w:tcPr>
            <w:tcW w:w="2250" w:type="dxa"/>
          </w:tcPr>
          <w:p w14:paraId="7B251056" w14:textId="77777777" w:rsidR="000B0836" w:rsidRPr="00871047" w:rsidRDefault="000B0836" w:rsidP="00147C9D">
            <w:pPr>
              <w:rPr>
                <w:sz w:val="18"/>
              </w:rPr>
            </w:pPr>
            <w:r w:rsidRPr="00871047">
              <w:rPr>
                <w:sz w:val="18"/>
              </w:rPr>
              <w:t>(1) Share of arable land under soil conservation practices* (percent)</w:t>
            </w:r>
          </w:p>
          <w:p w14:paraId="57F09CBD" w14:textId="77777777" w:rsidR="000B0836" w:rsidRPr="00871047" w:rsidRDefault="000B0836" w:rsidP="00871047">
            <w:pPr>
              <w:spacing w:after="60"/>
              <w:rPr>
                <w:i/>
                <w:sz w:val="18"/>
              </w:rPr>
            </w:pPr>
            <w:r w:rsidRPr="00871047">
              <w:rPr>
                <w:i/>
                <w:sz w:val="18"/>
              </w:rPr>
              <w:t>and/or</w:t>
            </w:r>
          </w:p>
          <w:p w14:paraId="44B9F546" w14:textId="5201E650" w:rsidR="000B0836" w:rsidRPr="00871047" w:rsidRDefault="000B0836" w:rsidP="00147C9D">
            <w:pPr>
              <w:rPr>
                <w:sz w:val="18"/>
              </w:rPr>
            </w:pPr>
            <w:r w:rsidRPr="00871047">
              <w:rPr>
                <w:sz w:val="18"/>
              </w:rPr>
              <w:t xml:space="preserve">(2) Share of cropland under conservation agriculture (e.g., </w:t>
            </w:r>
            <w:r w:rsidR="00147C9D" w:rsidRPr="00147C9D">
              <w:rPr>
                <w:sz w:val="18"/>
                <w:szCs w:val="18"/>
              </w:rPr>
              <w:t>crop rotations, reduced tillage,</w:t>
            </w:r>
            <w:r w:rsidR="00147C9D" w:rsidRPr="00871047">
              <w:rPr>
                <w:sz w:val="18"/>
              </w:rPr>
              <w:t xml:space="preserve"> cover</w:t>
            </w:r>
            <w:r w:rsidR="00147C9D" w:rsidRPr="00147C9D">
              <w:rPr>
                <w:sz w:val="18"/>
                <w:szCs w:val="18"/>
              </w:rPr>
              <w:t xml:space="preserve"> crops</w:t>
            </w:r>
            <w:r w:rsidRPr="00871047">
              <w:rPr>
                <w:sz w:val="18"/>
              </w:rPr>
              <w:t xml:space="preserve">) </w:t>
            </w:r>
            <w:r w:rsidRPr="00871047">
              <w:rPr>
                <w:color w:val="000099"/>
                <w:sz w:val="18"/>
              </w:rPr>
              <w:t>(percent)</w:t>
            </w:r>
          </w:p>
        </w:tc>
        <w:tc>
          <w:tcPr>
            <w:tcW w:w="2880" w:type="dxa"/>
          </w:tcPr>
          <w:p w14:paraId="2D034683" w14:textId="77777777" w:rsidR="000B0836" w:rsidRPr="00871047" w:rsidRDefault="000B0836" w:rsidP="0084021B">
            <w:pPr>
              <w:rPr>
                <w:sz w:val="18"/>
              </w:rPr>
            </w:pPr>
            <w:r w:rsidRPr="00871047">
              <w:rPr>
                <w:sz w:val="18"/>
              </w:rPr>
              <w:t xml:space="preserve">Share of agricultural land practicing  nutrient management* </w:t>
            </w:r>
            <w:r w:rsidRPr="00871047">
              <w:rPr>
                <w:color w:val="000099"/>
                <w:sz w:val="18"/>
              </w:rPr>
              <w:t>(percent)</w:t>
            </w:r>
          </w:p>
        </w:tc>
        <w:tc>
          <w:tcPr>
            <w:tcW w:w="2250" w:type="dxa"/>
          </w:tcPr>
          <w:p w14:paraId="71B4DF63" w14:textId="77777777" w:rsidR="000B0836" w:rsidRPr="00457D59" w:rsidRDefault="000B0836" w:rsidP="0084021B">
            <w:pPr>
              <w:rPr>
                <w:sz w:val="20"/>
                <w:szCs w:val="20"/>
              </w:rPr>
            </w:pPr>
            <w:r w:rsidRPr="00457D59">
              <w:rPr>
                <w:sz w:val="20"/>
                <w:szCs w:val="20"/>
              </w:rPr>
              <w:t xml:space="preserve">Share of cropland under integrated pest management </w:t>
            </w:r>
            <w:r w:rsidRPr="00457D59">
              <w:rPr>
                <w:color w:val="000099"/>
                <w:sz w:val="20"/>
                <w:szCs w:val="20"/>
              </w:rPr>
              <w:t>(percent)</w:t>
            </w:r>
          </w:p>
        </w:tc>
      </w:tr>
      <w:tr w:rsidR="000B0836" w:rsidRPr="00457D59" w14:paraId="7E23652E" w14:textId="77777777" w:rsidTr="00871047">
        <w:tc>
          <w:tcPr>
            <w:tcW w:w="1290" w:type="dxa"/>
          </w:tcPr>
          <w:p w14:paraId="436C9CE4" w14:textId="77777777" w:rsidR="000B0836" w:rsidRPr="00871047" w:rsidRDefault="000B0836" w:rsidP="0084021B">
            <w:pPr>
              <w:rPr>
                <w:b/>
                <w:sz w:val="18"/>
              </w:rPr>
            </w:pPr>
            <w:r w:rsidRPr="00871047">
              <w:rPr>
                <w:b/>
                <w:sz w:val="18"/>
              </w:rPr>
              <w:t>Performance</w:t>
            </w:r>
          </w:p>
        </w:tc>
        <w:tc>
          <w:tcPr>
            <w:tcW w:w="2130" w:type="dxa"/>
          </w:tcPr>
          <w:p w14:paraId="38CBBF94" w14:textId="77777777" w:rsidR="000B0836" w:rsidRPr="00871047" w:rsidRDefault="000B0836" w:rsidP="0084021B">
            <w:pPr>
              <w:rPr>
                <w:color w:val="000099"/>
                <w:sz w:val="18"/>
              </w:rPr>
            </w:pPr>
            <w:r w:rsidRPr="00871047">
              <w:rPr>
                <w:sz w:val="18"/>
              </w:rPr>
              <w:t xml:space="preserve">(1) Crop production per drop of water </w:t>
            </w:r>
            <w:r w:rsidRPr="00871047">
              <w:rPr>
                <w:color w:val="000099"/>
                <w:sz w:val="18"/>
              </w:rPr>
              <w:t>(tonnes of crop produced per m</w:t>
            </w:r>
            <w:r w:rsidRPr="00871047">
              <w:rPr>
                <w:color w:val="000099"/>
                <w:sz w:val="18"/>
                <w:vertAlign w:val="superscript"/>
              </w:rPr>
              <w:t>3</w:t>
            </w:r>
            <w:r w:rsidRPr="00871047">
              <w:rPr>
                <w:color w:val="000099"/>
                <w:sz w:val="18"/>
              </w:rPr>
              <w:t xml:space="preserve"> water per year)</w:t>
            </w:r>
          </w:p>
          <w:p w14:paraId="7B81680E" w14:textId="77777777" w:rsidR="000B0836" w:rsidRPr="00871047" w:rsidRDefault="000B0836" w:rsidP="0084021B">
            <w:pPr>
              <w:rPr>
                <w:i/>
                <w:sz w:val="18"/>
              </w:rPr>
            </w:pPr>
            <w:r w:rsidRPr="00871047">
              <w:rPr>
                <w:i/>
                <w:sz w:val="18"/>
              </w:rPr>
              <w:t xml:space="preserve">in combination with </w:t>
            </w:r>
          </w:p>
          <w:p w14:paraId="2E81D261" w14:textId="77777777" w:rsidR="000B0836" w:rsidRPr="00871047" w:rsidRDefault="000B0836" w:rsidP="0084021B">
            <w:pPr>
              <w:rPr>
                <w:sz w:val="18"/>
              </w:rPr>
            </w:pPr>
            <w:r w:rsidRPr="00871047">
              <w:rPr>
                <w:sz w:val="18"/>
              </w:rPr>
              <w:t xml:space="preserve">(2) Water stress ratio </w:t>
            </w:r>
            <w:r w:rsidRPr="00871047">
              <w:rPr>
                <w:color w:val="000099"/>
                <w:sz w:val="18"/>
              </w:rPr>
              <w:t>(water demand in m</w:t>
            </w:r>
            <w:r w:rsidRPr="00871047">
              <w:rPr>
                <w:color w:val="000099"/>
                <w:sz w:val="18"/>
                <w:vertAlign w:val="superscript"/>
              </w:rPr>
              <w:t>3</w:t>
            </w:r>
            <w:r w:rsidRPr="00871047">
              <w:rPr>
                <w:color w:val="000099"/>
                <w:sz w:val="18"/>
              </w:rPr>
              <w:t xml:space="preserve"> / water supply in m</w:t>
            </w:r>
            <w:r w:rsidRPr="00871047">
              <w:rPr>
                <w:color w:val="000099"/>
                <w:sz w:val="18"/>
                <w:vertAlign w:val="superscript"/>
              </w:rPr>
              <w:t>3</w:t>
            </w:r>
            <w:r w:rsidRPr="00871047">
              <w:rPr>
                <w:color w:val="000099"/>
                <w:sz w:val="18"/>
              </w:rPr>
              <w:t>)</w:t>
            </w:r>
          </w:p>
        </w:tc>
        <w:tc>
          <w:tcPr>
            <w:tcW w:w="1620" w:type="dxa"/>
            <w:gridSpan w:val="2"/>
          </w:tcPr>
          <w:p w14:paraId="45709F4A" w14:textId="77777777" w:rsidR="000B0836" w:rsidRPr="00871047" w:rsidRDefault="000B0836" w:rsidP="0084021B">
            <w:pPr>
              <w:rPr>
                <w:sz w:val="18"/>
              </w:rPr>
            </w:pPr>
            <w:r w:rsidRPr="00871047">
              <w:rPr>
                <w:sz w:val="18"/>
              </w:rPr>
              <w:t xml:space="preserve">Food production per unit of GHG emissions* </w:t>
            </w:r>
            <w:r w:rsidRPr="00871047">
              <w:rPr>
                <w:color w:val="000099"/>
                <w:sz w:val="18"/>
              </w:rPr>
              <w:t>(tonnes of food produced per year per tonne of CO</w:t>
            </w:r>
            <w:r w:rsidRPr="00871047">
              <w:rPr>
                <w:color w:val="000099"/>
                <w:sz w:val="20"/>
                <w:vertAlign w:val="subscript"/>
              </w:rPr>
              <w:t>2</w:t>
            </w:r>
            <w:r w:rsidRPr="00871047">
              <w:rPr>
                <w:color w:val="000099"/>
                <w:sz w:val="18"/>
              </w:rPr>
              <w:t>-equivalent)</w:t>
            </w:r>
          </w:p>
        </w:tc>
        <w:tc>
          <w:tcPr>
            <w:tcW w:w="1800" w:type="dxa"/>
          </w:tcPr>
          <w:p w14:paraId="0C9BC1BD" w14:textId="77777777" w:rsidR="000B0836" w:rsidRPr="00871047" w:rsidRDefault="000B0836" w:rsidP="0084021B">
            <w:pPr>
              <w:rPr>
                <w:sz w:val="18"/>
              </w:rPr>
            </w:pPr>
            <w:r w:rsidRPr="00871047">
              <w:rPr>
                <w:sz w:val="18"/>
              </w:rPr>
              <w:t xml:space="preserve">Conversion of natural land (e.g., forests, wetlands) to agricultural land (crop and pasture)* </w:t>
            </w:r>
            <w:r w:rsidRPr="00871047">
              <w:rPr>
                <w:color w:val="000099"/>
                <w:sz w:val="18"/>
              </w:rPr>
              <w:t>(hectares of converted land per year)</w:t>
            </w:r>
          </w:p>
        </w:tc>
        <w:tc>
          <w:tcPr>
            <w:tcW w:w="2250" w:type="dxa"/>
          </w:tcPr>
          <w:p w14:paraId="4E6419B2" w14:textId="77777777" w:rsidR="000B0836" w:rsidRPr="00871047" w:rsidRDefault="000B0836" w:rsidP="00147C9D">
            <w:pPr>
              <w:rPr>
                <w:sz w:val="18"/>
              </w:rPr>
            </w:pPr>
            <w:r w:rsidRPr="00871047">
              <w:rPr>
                <w:sz w:val="18"/>
              </w:rPr>
              <w:t xml:space="preserve">(1) Share of agricultural land affected by soil erosion* </w:t>
            </w:r>
            <w:r w:rsidRPr="00871047">
              <w:rPr>
                <w:color w:val="000099"/>
                <w:sz w:val="18"/>
              </w:rPr>
              <w:t>(percent)</w:t>
            </w:r>
          </w:p>
          <w:p w14:paraId="713A97AE" w14:textId="77777777" w:rsidR="000B0836" w:rsidRPr="00871047" w:rsidRDefault="000B0836" w:rsidP="00871047">
            <w:pPr>
              <w:spacing w:after="60"/>
              <w:rPr>
                <w:i/>
                <w:sz w:val="18"/>
              </w:rPr>
            </w:pPr>
            <w:r w:rsidRPr="00871047">
              <w:rPr>
                <w:i/>
                <w:sz w:val="18"/>
              </w:rPr>
              <w:t>and/or</w:t>
            </w:r>
          </w:p>
          <w:p w14:paraId="4B7AB352" w14:textId="2DED5A90" w:rsidR="00147C9D" w:rsidRPr="00871047" w:rsidRDefault="000B0836" w:rsidP="00147C9D">
            <w:pPr>
              <w:rPr>
                <w:color w:val="000099"/>
                <w:sz w:val="18"/>
              </w:rPr>
            </w:pPr>
            <w:r w:rsidRPr="00871047">
              <w:rPr>
                <w:sz w:val="18"/>
              </w:rPr>
              <w:t xml:space="preserve">(2) Percent change in net primary productivity (NPP) across agricultural land* </w:t>
            </w:r>
            <w:r w:rsidRPr="00871047">
              <w:rPr>
                <w:color w:val="000099"/>
                <w:sz w:val="18"/>
              </w:rPr>
              <w:t xml:space="preserve">(percent) </w:t>
            </w:r>
          </w:p>
          <w:p w14:paraId="13DEC9D0" w14:textId="77777777" w:rsidR="000B0836" w:rsidRPr="00871047" w:rsidRDefault="000B0836" w:rsidP="0084021B">
            <w:pPr>
              <w:rPr>
                <w:sz w:val="18"/>
              </w:rPr>
            </w:pPr>
            <w:r w:rsidRPr="00871047">
              <w:rPr>
                <w:sz w:val="18"/>
              </w:rPr>
              <w:t xml:space="preserve">(3) Soil organic matter (carbon) content </w:t>
            </w:r>
            <w:r w:rsidRPr="00871047">
              <w:rPr>
                <w:color w:val="000099"/>
                <w:sz w:val="18"/>
              </w:rPr>
              <w:t>(tonnes C per hectare)</w:t>
            </w:r>
          </w:p>
        </w:tc>
        <w:tc>
          <w:tcPr>
            <w:tcW w:w="2880" w:type="dxa"/>
          </w:tcPr>
          <w:p w14:paraId="64F0F2B9" w14:textId="77777777" w:rsidR="000B0836" w:rsidRPr="00871047" w:rsidRDefault="000B0836" w:rsidP="0084021B">
            <w:pPr>
              <w:rPr>
                <w:sz w:val="18"/>
              </w:rPr>
            </w:pPr>
            <w:r w:rsidRPr="00871047">
              <w:rPr>
                <w:sz w:val="18"/>
              </w:rPr>
              <w:t xml:space="preserve">(1) Nutrient input balances on agricultural land (i.e., difference between N &amp; P inputs and outputs)* </w:t>
            </w:r>
            <w:r w:rsidRPr="00871047">
              <w:rPr>
                <w:color w:val="000099"/>
                <w:sz w:val="18"/>
              </w:rPr>
              <w:t>(kg N &amp; P per hectare of  agricultural land)</w:t>
            </w:r>
          </w:p>
          <w:p w14:paraId="0A9C8BF6" w14:textId="77777777" w:rsidR="000B0836" w:rsidRPr="00871047" w:rsidRDefault="000B0836" w:rsidP="0084021B">
            <w:pPr>
              <w:spacing w:after="60"/>
              <w:rPr>
                <w:i/>
                <w:sz w:val="18"/>
              </w:rPr>
            </w:pPr>
            <w:r w:rsidRPr="00871047">
              <w:rPr>
                <w:i/>
                <w:sz w:val="18"/>
              </w:rPr>
              <w:t>and/or</w:t>
            </w:r>
          </w:p>
          <w:p w14:paraId="32B20D4C" w14:textId="021B3C56" w:rsidR="000B0836" w:rsidRPr="00871047" w:rsidRDefault="000B0836" w:rsidP="00072D16">
            <w:pPr>
              <w:rPr>
                <w:sz w:val="18"/>
              </w:rPr>
            </w:pPr>
            <w:r w:rsidRPr="00871047">
              <w:rPr>
                <w:sz w:val="18"/>
              </w:rPr>
              <w:t xml:space="preserve">(2) Fertilizer </w:t>
            </w:r>
            <w:r w:rsidR="00072D16" w:rsidRPr="00147C9D">
              <w:rPr>
                <w:sz w:val="18"/>
                <w:szCs w:val="18"/>
              </w:rPr>
              <w:t>applied</w:t>
            </w:r>
            <w:r w:rsidRPr="00871047">
              <w:rPr>
                <w:sz w:val="18"/>
              </w:rPr>
              <w:t xml:space="preserve"> per unit of arable land </w:t>
            </w:r>
            <w:r w:rsidRPr="00871047">
              <w:rPr>
                <w:color w:val="000099"/>
                <w:sz w:val="18"/>
              </w:rPr>
              <w:t>(tonnes of nutrients per hectare of arable land)</w:t>
            </w:r>
          </w:p>
        </w:tc>
        <w:tc>
          <w:tcPr>
            <w:tcW w:w="2250" w:type="dxa"/>
          </w:tcPr>
          <w:p w14:paraId="73B4E789" w14:textId="77777777" w:rsidR="000B0836" w:rsidRPr="00457D59" w:rsidRDefault="000B0836" w:rsidP="0084021B">
            <w:pPr>
              <w:rPr>
                <w:sz w:val="20"/>
                <w:szCs w:val="20"/>
              </w:rPr>
            </w:pPr>
            <w:r w:rsidRPr="00457D59">
              <w:rPr>
                <w:sz w:val="20"/>
                <w:szCs w:val="20"/>
              </w:rPr>
              <w:t xml:space="preserve">Pesticide use per unit of cropland </w:t>
            </w:r>
            <w:r w:rsidRPr="00457D59">
              <w:rPr>
                <w:color w:val="000099"/>
                <w:sz w:val="20"/>
                <w:szCs w:val="20"/>
              </w:rPr>
              <w:t>(tonnes of active ingredient applied per hectare)</w:t>
            </w:r>
          </w:p>
        </w:tc>
      </w:tr>
    </w:tbl>
    <w:p w14:paraId="2EEDA400" w14:textId="77777777" w:rsidR="000B0836" w:rsidRDefault="000B0836" w:rsidP="000B0836">
      <w:pPr>
        <w:spacing w:line="240" w:lineRule="auto"/>
        <w:sectPr w:rsidR="000B0836" w:rsidSect="00EA29BD">
          <w:endnotePr>
            <w:numFmt w:val="decimal"/>
          </w:endnotePr>
          <w:pgSz w:w="15840" w:h="12240" w:orient="landscape"/>
          <w:pgMar w:top="1440" w:right="1440" w:bottom="1440" w:left="1440" w:header="720" w:footer="720" w:gutter="0"/>
          <w:cols w:space="720"/>
          <w:docGrid w:linePitch="360"/>
        </w:sectPr>
      </w:pPr>
    </w:p>
    <w:p w14:paraId="560379AE" w14:textId="169EBD31" w:rsidR="00433D9D" w:rsidRPr="000B0836" w:rsidRDefault="00433D9D" w:rsidP="000B0836">
      <w:pPr>
        <w:pStyle w:val="Overskrift2"/>
        <w:spacing w:before="0" w:after="120" w:line="240" w:lineRule="auto"/>
        <w:rPr>
          <w:rFonts w:asciiTheme="minorHAnsi" w:hAnsiTheme="minorHAnsi"/>
          <w:color w:val="000099"/>
          <w:sz w:val="22"/>
          <w:szCs w:val="22"/>
        </w:rPr>
      </w:pPr>
      <w:bookmarkStart w:id="31" w:name="_Toc386694781"/>
      <w:bookmarkStart w:id="32" w:name="_Toc387076761"/>
      <w:r w:rsidRPr="000B0836">
        <w:rPr>
          <w:rFonts w:asciiTheme="minorHAnsi" w:hAnsiTheme="minorHAnsi"/>
          <w:color w:val="000099"/>
          <w:sz w:val="22"/>
          <w:szCs w:val="22"/>
        </w:rPr>
        <w:lastRenderedPageBreak/>
        <w:t>Some caveats</w:t>
      </w:r>
      <w:bookmarkEnd w:id="29"/>
      <w:bookmarkEnd w:id="31"/>
      <w:bookmarkEnd w:id="32"/>
    </w:p>
    <w:p w14:paraId="5E5FE8CB" w14:textId="1C6326BE" w:rsidR="00433D9D" w:rsidRDefault="00433D9D" w:rsidP="00433D9D">
      <w:pPr>
        <w:keepNext/>
        <w:keepLines/>
        <w:spacing w:after="0" w:line="240" w:lineRule="auto"/>
      </w:pPr>
      <w:r>
        <w:t>A few</w:t>
      </w:r>
      <w:r w:rsidR="009C6199">
        <w:t xml:space="preserve"> caveats are important to note.</w:t>
      </w:r>
      <w:r>
        <w:t xml:space="preserve"> First, given that this </w:t>
      </w:r>
      <w:r w:rsidR="00212883">
        <w:t xml:space="preserve">working </w:t>
      </w:r>
      <w:r>
        <w:t xml:space="preserve">paper summarizes a scoping exercise, the </w:t>
      </w:r>
      <w:r w:rsidR="009C6199">
        <w:t>candidate list</w:t>
      </w:r>
      <w:r>
        <w:t xml:space="preserve"> represents those indicators that we deem most suitable for further </w:t>
      </w:r>
      <w:r w:rsidR="00212883">
        <w:t>research</w:t>
      </w:r>
      <w:r>
        <w:t xml:space="preserve"> and vetting―particularly with regard to data availa</w:t>
      </w:r>
      <w:r w:rsidR="00212883">
        <w:t>bility, accuracy, and frequency</w:t>
      </w:r>
      <w:r>
        <w:t xml:space="preserve">. </w:t>
      </w:r>
    </w:p>
    <w:p w14:paraId="207292C2" w14:textId="77777777" w:rsidR="00433D9D" w:rsidRDefault="00433D9D" w:rsidP="00433D9D">
      <w:pPr>
        <w:keepNext/>
        <w:keepLines/>
        <w:spacing w:after="0" w:line="240" w:lineRule="auto"/>
      </w:pPr>
    </w:p>
    <w:p w14:paraId="6674DC3D" w14:textId="77777777" w:rsidR="00433D9D" w:rsidRDefault="00433D9D" w:rsidP="00433D9D">
      <w:pPr>
        <w:keepNext/>
        <w:keepLines/>
        <w:spacing w:after="0" w:line="240" w:lineRule="auto"/>
      </w:pPr>
      <w:r>
        <w:t xml:space="preserve">Second, we did not restrict selection of candidate indicators to only those for which data is already available in all countries. While faring poorly on the data availability criterion, some of the suggested candidate indicators would be very accurate, proximate, relevant, and differentiating. We include them on the short list as a signal that the international community should consider generating and collecting data for these indicators. </w:t>
      </w:r>
    </w:p>
    <w:p w14:paraId="2C32001B" w14:textId="77777777" w:rsidR="00433D9D" w:rsidRDefault="00433D9D" w:rsidP="00433D9D">
      <w:pPr>
        <w:keepNext/>
        <w:keepLines/>
        <w:spacing w:after="0" w:line="240" w:lineRule="auto"/>
      </w:pPr>
    </w:p>
    <w:p w14:paraId="5CE7396A" w14:textId="140B6F82" w:rsidR="00433D9D" w:rsidRPr="00433D9D" w:rsidRDefault="00433D9D" w:rsidP="00433D9D">
      <w:pPr>
        <w:keepNext/>
        <w:keepLines/>
        <w:spacing w:after="0" w:line="240" w:lineRule="auto"/>
      </w:pPr>
      <w:r>
        <w:t xml:space="preserve">Third, </w:t>
      </w:r>
      <w:r w:rsidR="00395D9B">
        <w:t xml:space="preserve">in the Excel Workbook, </w:t>
      </w:r>
      <w:r>
        <w:t xml:space="preserve">we provide some preliminary ideas for how to collect missing data. For instance, remote sensing― for detecting </w:t>
      </w:r>
      <w:r w:rsidR="00212883">
        <w:t>soil degradation or land conversion to agriculture</w:t>
      </w:r>
      <w:r>
        <w:t xml:space="preserve">―is quickly advancing in terms of resolution, coverage, and processing costs and could increase in importance as a data source on </w:t>
      </w:r>
      <w:r w:rsidR="009C6199">
        <w:t xml:space="preserve">the </w:t>
      </w:r>
      <w:r>
        <w:t>environmental performance</w:t>
      </w:r>
      <w:r w:rsidR="009C6199">
        <w:t xml:space="preserve"> of agriculture</w:t>
      </w:r>
      <w:r>
        <w:t>.</w:t>
      </w:r>
      <w:r w:rsidR="00156626">
        <w:t xml:space="preserve"> Furthermore</w:t>
      </w:r>
      <w:r>
        <w:t>, many environmental policy indicators simply have not yet been compi</w:t>
      </w:r>
      <w:r w:rsidR="00156626">
        <w:t xml:space="preserve">led at a multi-national level. </w:t>
      </w:r>
      <w:r>
        <w:t>In short, we recommend some indicators with an eye toward their future potential.</w:t>
      </w:r>
    </w:p>
    <w:p w14:paraId="2D92868E" w14:textId="77777777" w:rsidR="00433D9D" w:rsidRDefault="00433D9D" w:rsidP="00433D9D">
      <w:pPr>
        <w:pStyle w:val="Overskrift2"/>
        <w:spacing w:before="0" w:line="240" w:lineRule="auto"/>
        <w:rPr>
          <w:rFonts w:asciiTheme="minorHAnsi" w:hAnsiTheme="minorHAnsi"/>
          <w:color w:val="000099"/>
          <w:sz w:val="22"/>
          <w:szCs w:val="22"/>
        </w:rPr>
      </w:pPr>
    </w:p>
    <w:p w14:paraId="6940B067" w14:textId="69E67021" w:rsidR="006B4135" w:rsidRPr="00A85412" w:rsidRDefault="006B4135" w:rsidP="006B4135">
      <w:pPr>
        <w:pStyle w:val="Overskrift2"/>
        <w:spacing w:before="0" w:after="120" w:line="240" w:lineRule="auto"/>
        <w:rPr>
          <w:rFonts w:asciiTheme="minorHAnsi" w:hAnsiTheme="minorHAnsi"/>
          <w:color w:val="000099"/>
          <w:sz w:val="22"/>
          <w:szCs w:val="22"/>
        </w:rPr>
      </w:pPr>
      <w:bookmarkStart w:id="33" w:name="_Toc386694782"/>
      <w:bookmarkStart w:id="34" w:name="_Toc387076762"/>
      <w:bookmarkStart w:id="35" w:name="_Toc352660943"/>
      <w:r w:rsidRPr="00A85412">
        <w:rPr>
          <w:rFonts w:asciiTheme="minorHAnsi" w:hAnsiTheme="minorHAnsi"/>
          <w:color w:val="000099"/>
          <w:sz w:val="22"/>
          <w:szCs w:val="22"/>
        </w:rPr>
        <w:t xml:space="preserve">Integrating the </w:t>
      </w:r>
      <w:r w:rsidR="00725F55">
        <w:rPr>
          <w:rFonts w:asciiTheme="minorHAnsi" w:hAnsiTheme="minorHAnsi"/>
          <w:color w:val="000099"/>
          <w:sz w:val="22"/>
          <w:szCs w:val="22"/>
        </w:rPr>
        <w:t>indicators</w:t>
      </w:r>
      <w:r w:rsidR="00276F95">
        <w:rPr>
          <w:rFonts w:asciiTheme="minorHAnsi" w:hAnsiTheme="minorHAnsi"/>
          <w:color w:val="000099"/>
          <w:sz w:val="22"/>
          <w:szCs w:val="22"/>
        </w:rPr>
        <w:t xml:space="preserve"> into an</w:t>
      </w:r>
      <w:r w:rsidR="00156626">
        <w:rPr>
          <w:rFonts w:asciiTheme="minorHAnsi" w:hAnsiTheme="minorHAnsi"/>
          <w:color w:val="000099"/>
          <w:sz w:val="22"/>
          <w:szCs w:val="22"/>
        </w:rPr>
        <w:t xml:space="preserve"> </w:t>
      </w:r>
      <w:r w:rsidRPr="00A85412">
        <w:rPr>
          <w:rFonts w:asciiTheme="minorHAnsi" w:hAnsiTheme="minorHAnsi"/>
          <w:color w:val="000099"/>
          <w:sz w:val="22"/>
          <w:szCs w:val="22"/>
        </w:rPr>
        <w:t>index</w:t>
      </w:r>
      <w:bookmarkEnd w:id="33"/>
      <w:bookmarkEnd w:id="34"/>
      <w:r w:rsidRPr="00A85412">
        <w:rPr>
          <w:rFonts w:asciiTheme="minorHAnsi" w:hAnsiTheme="minorHAnsi"/>
          <w:color w:val="000099"/>
          <w:sz w:val="22"/>
          <w:szCs w:val="22"/>
        </w:rPr>
        <w:t xml:space="preserve"> </w:t>
      </w:r>
      <w:bookmarkEnd w:id="30"/>
      <w:bookmarkEnd w:id="35"/>
    </w:p>
    <w:p w14:paraId="43EBBCDC" w14:textId="2CED4FF5" w:rsidR="006B4135" w:rsidRDefault="006B4135" w:rsidP="005A1477">
      <w:pPr>
        <w:spacing w:after="120" w:line="240" w:lineRule="auto"/>
      </w:pPr>
      <w:r>
        <w:t xml:space="preserve">After finalizing the suite of indicators, a subsequent step is to </w:t>
      </w:r>
      <w:r w:rsidR="005A1477">
        <w:t>integrate the indicators into a</w:t>
      </w:r>
      <w:r>
        <w:t xml:space="preserve"> </w:t>
      </w:r>
      <w:r w:rsidR="005A1477">
        <w:t>single</w:t>
      </w:r>
      <w:r>
        <w:t xml:space="preserve"> index, capable of standing and being reported on its own. </w:t>
      </w:r>
      <w:r w:rsidR="005A1477">
        <w:t xml:space="preserve"> </w:t>
      </w:r>
      <w:r w:rsidR="00D522AE">
        <w:t>I</w:t>
      </w:r>
      <w:r>
        <w:t xml:space="preserve">ntegration </w:t>
      </w:r>
      <w:r w:rsidR="00C26F01">
        <w:t>involve</w:t>
      </w:r>
      <w:r w:rsidR="00D522AE">
        <w:t>s</w:t>
      </w:r>
      <w:r w:rsidR="00C26F01">
        <w:t xml:space="preserve"> weighting and aggregating</w:t>
      </w:r>
      <w:r w:rsidR="00D522AE">
        <w:t xml:space="preserve"> the constituent components of the index. T</w:t>
      </w:r>
      <w:r w:rsidR="00C26F01">
        <w:t xml:space="preserve">he </w:t>
      </w:r>
      <w:r w:rsidR="00156626">
        <w:t>constituents</w:t>
      </w:r>
      <w:r w:rsidR="00BE23B6">
        <w:t xml:space="preserve"> </w:t>
      </w:r>
      <w:r w:rsidR="00D522AE">
        <w:t>are</w:t>
      </w:r>
      <w:r w:rsidR="00DD6067">
        <w:t xml:space="preserve"> </w:t>
      </w:r>
      <w:r w:rsidR="00C26F01">
        <w:t>assign</w:t>
      </w:r>
      <w:r w:rsidR="00D522AE">
        <w:t>ed</w:t>
      </w:r>
      <w:r w:rsidR="00C26F01">
        <w:t xml:space="preserve"> weights based on statistical </w:t>
      </w:r>
      <w:r w:rsidR="00D522AE">
        <w:t xml:space="preserve">criteria </w:t>
      </w:r>
      <w:r w:rsidR="00C26F01">
        <w:t xml:space="preserve">or </w:t>
      </w:r>
      <w:r w:rsidR="00D522AE">
        <w:t xml:space="preserve">expert </w:t>
      </w:r>
      <w:r w:rsidR="00C26F01">
        <w:t>judgmen</w:t>
      </w:r>
      <w:r w:rsidR="00156626">
        <w:t>t. Then they</w:t>
      </w:r>
      <w:r w:rsidR="00D522AE">
        <w:t xml:space="preserve"> are</w:t>
      </w:r>
      <w:r w:rsidR="00C26F01">
        <w:t xml:space="preserve"> </w:t>
      </w:r>
      <w:r w:rsidR="00DD6067">
        <w:t>aggregat</w:t>
      </w:r>
      <w:r w:rsidR="00D522AE">
        <w:t>ed</w:t>
      </w:r>
      <w:r w:rsidR="004C44DB">
        <w:t xml:space="preserve"> </w:t>
      </w:r>
      <w:r w:rsidR="00DD6067">
        <w:t xml:space="preserve">in </w:t>
      </w:r>
      <w:r w:rsidR="00A11D9E">
        <w:t xml:space="preserve">either </w:t>
      </w:r>
      <w:r w:rsidR="00DD6067">
        <w:t>a</w:t>
      </w:r>
      <w:r w:rsidR="00C26F01">
        <w:t xml:space="preserve"> linear </w:t>
      </w:r>
      <w:r w:rsidR="00DD6067">
        <w:t>or</w:t>
      </w:r>
      <w:r w:rsidR="00C26F01">
        <w:t xml:space="preserve"> non-linear</w:t>
      </w:r>
      <w:r w:rsidR="00A11D9E">
        <w:t xml:space="preserve"> f</w:t>
      </w:r>
      <w:r w:rsidR="00BE23B6">
        <w:t>ashion</w:t>
      </w:r>
      <w:r w:rsidR="00C26F01">
        <w:t>.</w:t>
      </w:r>
      <w:r w:rsidR="00CA507E">
        <w:rPr>
          <w:rStyle w:val="Slutnotehenvisning"/>
        </w:rPr>
        <w:endnoteReference w:id="15"/>
      </w:r>
      <w:r w:rsidR="00C26F01">
        <w:t xml:space="preserve"> </w:t>
      </w:r>
      <w:r>
        <w:t xml:space="preserve"> </w:t>
      </w:r>
      <w:r w:rsidR="00D522AE">
        <w:t>Opti</w:t>
      </w:r>
      <w:r w:rsidR="007947C8">
        <w:t xml:space="preserve">ons </w:t>
      </w:r>
      <w:r w:rsidR="00156626">
        <w:t>with respect to</w:t>
      </w:r>
      <w:r w:rsidR="007947C8">
        <w:t xml:space="preserve"> </w:t>
      </w:r>
      <w:r w:rsidR="00156626">
        <w:t>weighting and aggregating</w:t>
      </w:r>
      <w:r w:rsidR="007947C8">
        <w:t xml:space="preserve"> include</w:t>
      </w:r>
      <w:r w:rsidR="004236D2">
        <w:t xml:space="preserve"> (Figure 3)</w:t>
      </w:r>
      <w:r>
        <w:t>:</w:t>
      </w:r>
    </w:p>
    <w:p w14:paraId="45B916CB" w14:textId="77777777" w:rsidR="00377BB8" w:rsidRPr="00DD6067" w:rsidRDefault="00D522AE" w:rsidP="006B4135">
      <w:pPr>
        <w:spacing w:after="120" w:line="240" w:lineRule="auto"/>
        <w:rPr>
          <w:b/>
        </w:rPr>
      </w:pPr>
      <w:r>
        <w:rPr>
          <w:b/>
        </w:rPr>
        <w:t>Weighting</w:t>
      </w:r>
    </w:p>
    <w:p w14:paraId="68AC3F89" w14:textId="77777777" w:rsidR="00C945F4" w:rsidRPr="00DD6067" w:rsidRDefault="00D522AE" w:rsidP="000D6158">
      <w:pPr>
        <w:pStyle w:val="Listeafsnit"/>
        <w:numPr>
          <w:ilvl w:val="0"/>
          <w:numId w:val="5"/>
        </w:numPr>
        <w:spacing w:after="120" w:line="240" w:lineRule="auto"/>
        <w:contextualSpacing w:val="0"/>
        <w:rPr>
          <w:b/>
          <w:i/>
        </w:rPr>
      </w:pPr>
      <w:r>
        <w:rPr>
          <w:b/>
          <w:i/>
        </w:rPr>
        <w:t xml:space="preserve">Equal weighting: </w:t>
      </w:r>
      <w:r>
        <w:t xml:space="preserve"> This approach gives a</w:t>
      </w:r>
      <w:r w:rsidR="00A11D9E">
        <w:t xml:space="preserve">ll components equal </w:t>
      </w:r>
      <w:r>
        <w:t xml:space="preserve">significance </w:t>
      </w:r>
      <w:r w:rsidR="00A11D9E">
        <w:t xml:space="preserve">in the index. </w:t>
      </w:r>
    </w:p>
    <w:p w14:paraId="330E6A26" w14:textId="77777777" w:rsidR="006B4135" w:rsidRPr="0075538B" w:rsidRDefault="006B4135" w:rsidP="000D6158">
      <w:pPr>
        <w:pStyle w:val="Listeafsnit"/>
        <w:numPr>
          <w:ilvl w:val="0"/>
          <w:numId w:val="5"/>
        </w:numPr>
        <w:spacing w:after="120" w:line="240" w:lineRule="auto"/>
        <w:contextualSpacing w:val="0"/>
      </w:pPr>
      <w:r w:rsidRPr="0075538B">
        <w:rPr>
          <w:b/>
          <w:i/>
        </w:rPr>
        <w:t>Adjust</w:t>
      </w:r>
      <w:r w:rsidR="00D522AE">
        <w:rPr>
          <w:b/>
          <w:i/>
        </w:rPr>
        <w:t>ed</w:t>
      </w:r>
      <w:r w:rsidRPr="0075538B">
        <w:rPr>
          <w:b/>
          <w:i/>
        </w:rPr>
        <w:t xml:space="preserve"> </w:t>
      </w:r>
      <w:r w:rsidR="00DD6067">
        <w:rPr>
          <w:b/>
          <w:i/>
        </w:rPr>
        <w:t>weights based on</w:t>
      </w:r>
      <w:r w:rsidRPr="0075538B">
        <w:rPr>
          <w:b/>
          <w:i/>
        </w:rPr>
        <w:t xml:space="preserve"> statistical correlation:</w:t>
      </w:r>
      <w:r w:rsidRPr="0075538B">
        <w:t xml:space="preserve"> </w:t>
      </w:r>
      <w:r w:rsidR="00D522AE">
        <w:t xml:space="preserve"> This approach u</w:t>
      </w:r>
      <w:r w:rsidR="00CF0B86">
        <w:t xml:space="preserve">ses a correlation coefficient to </w:t>
      </w:r>
      <w:r w:rsidR="00DC064F">
        <w:t xml:space="preserve">test components in order to either </w:t>
      </w:r>
      <w:r w:rsidR="00D522AE">
        <w:t>(</w:t>
      </w:r>
      <w:r w:rsidR="00DC064F">
        <w:t xml:space="preserve">1) </w:t>
      </w:r>
      <w:r w:rsidR="00CF0B86">
        <w:t xml:space="preserve">choose </w:t>
      </w:r>
      <w:r w:rsidR="00DC064F">
        <w:t xml:space="preserve">for inclusion only those components </w:t>
      </w:r>
      <w:r w:rsidR="00CF0B86">
        <w:t>that have a low degree of correlation</w:t>
      </w:r>
      <w:r w:rsidR="00DC064F">
        <w:t xml:space="preserve"> and assign equal weights</w:t>
      </w:r>
      <w:r w:rsidR="00D522AE">
        <w:t>,</w:t>
      </w:r>
      <w:r w:rsidR="00DC064F">
        <w:t xml:space="preserve"> </w:t>
      </w:r>
      <w:r w:rsidR="00CF0B86">
        <w:t xml:space="preserve">or </w:t>
      </w:r>
      <w:r w:rsidR="00D522AE">
        <w:t>(</w:t>
      </w:r>
      <w:r w:rsidR="00DC064F">
        <w:t xml:space="preserve">2) </w:t>
      </w:r>
      <w:r w:rsidR="00CF0B86">
        <w:t xml:space="preserve">adjust the weights of components according to </w:t>
      </w:r>
      <w:r w:rsidR="00D522AE">
        <w:t xml:space="preserve">their </w:t>
      </w:r>
      <w:r w:rsidR="00CF0B86">
        <w:t>degree of correlation (e.g., give less weight to correlated indicators).</w:t>
      </w:r>
      <w:r w:rsidR="00B3312D">
        <w:t xml:space="preserve">  This approach avoids double-counting or biasing the index in favor of </w:t>
      </w:r>
      <w:r w:rsidR="00062F37">
        <w:t>statistically similar components.</w:t>
      </w:r>
    </w:p>
    <w:p w14:paraId="4B0B058D" w14:textId="6A892268" w:rsidR="006B4135" w:rsidRDefault="006B4135" w:rsidP="000D6158">
      <w:pPr>
        <w:pStyle w:val="Listeafsnit"/>
        <w:numPr>
          <w:ilvl w:val="0"/>
          <w:numId w:val="5"/>
        </w:numPr>
        <w:spacing w:after="0" w:line="240" w:lineRule="auto"/>
        <w:contextualSpacing w:val="0"/>
      </w:pPr>
      <w:r w:rsidRPr="0075538B">
        <w:rPr>
          <w:b/>
          <w:i/>
        </w:rPr>
        <w:t>Differential weighting based on expert judgment:</w:t>
      </w:r>
      <w:r w:rsidRPr="0075538B">
        <w:t xml:space="preserve"> </w:t>
      </w:r>
      <w:r w:rsidR="00D522AE">
        <w:t xml:space="preserve"> This approach i</w:t>
      </w:r>
      <w:r w:rsidR="00DC064F">
        <w:t xml:space="preserve">nvolves convening a group of experts to </w:t>
      </w:r>
      <w:r w:rsidR="005B430D">
        <w:t xml:space="preserve">assign </w:t>
      </w:r>
      <w:r w:rsidR="00062F37">
        <w:t>weights to components</w:t>
      </w:r>
      <w:r w:rsidR="005B430D">
        <w:t xml:space="preserve"> based on their judgment of which components are more or less </w:t>
      </w:r>
      <w:r w:rsidR="00325311">
        <w:t>important</w:t>
      </w:r>
      <w:r w:rsidR="005B430D">
        <w:t xml:space="preserve"> in reflecting policy priorities or </w:t>
      </w:r>
      <w:r w:rsidR="00B3312D">
        <w:t>other objectives</w:t>
      </w:r>
      <w:r w:rsidR="00062F37">
        <w:t xml:space="preserve"> of the index</w:t>
      </w:r>
      <w:r w:rsidR="00B3312D">
        <w:t xml:space="preserve">.   </w:t>
      </w:r>
    </w:p>
    <w:p w14:paraId="00E0D296" w14:textId="77777777" w:rsidR="004C44DB" w:rsidRDefault="004C44DB" w:rsidP="007947C8">
      <w:pPr>
        <w:spacing w:after="0" w:line="240" w:lineRule="auto"/>
      </w:pPr>
    </w:p>
    <w:p w14:paraId="4BFB683C" w14:textId="77777777" w:rsidR="00DD6067" w:rsidRPr="00BE23B6" w:rsidRDefault="00D522AE" w:rsidP="00BE23B6">
      <w:pPr>
        <w:keepNext/>
        <w:spacing w:after="120" w:line="240" w:lineRule="auto"/>
        <w:rPr>
          <w:b/>
        </w:rPr>
      </w:pPr>
      <w:r>
        <w:rPr>
          <w:b/>
        </w:rPr>
        <w:t>Aggregating</w:t>
      </w:r>
    </w:p>
    <w:p w14:paraId="06DA91EE" w14:textId="77777777" w:rsidR="00C945F4" w:rsidRPr="00C945F4" w:rsidRDefault="00DD6067" w:rsidP="000D6158">
      <w:pPr>
        <w:pStyle w:val="Listeafsnit"/>
        <w:numPr>
          <w:ilvl w:val="0"/>
          <w:numId w:val="5"/>
        </w:numPr>
        <w:spacing w:after="120" w:line="240" w:lineRule="auto"/>
        <w:contextualSpacing w:val="0"/>
      </w:pPr>
      <w:r>
        <w:rPr>
          <w:b/>
          <w:i/>
        </w:rPr>
        <w:t>A</w:t>
      </w:r>
      <w:r w:rsidR="00C945F4" w:rsidRPr="0075538B">
        <w:rPr>
          <w:b/>
          <w:i/>
        </w:rPr>
        <w:t>rithmetic average:</w:t>
      </w:r>
      <w:r w:rsidR="00C945F4">
        <w:t xml:space="preserve"> </w:t>
      </w:r>
      <w:r w:rsidR="00D522AE">
        <w:t xml:space="preserve"> This linear </w:t>
      </w:r>
      <w:r w:rsidR="00C945F4">
        <w:t>approach sums all components and divides them according</w:t>
      </w:r>
      <w:r w:rsidR="00D522AE">
        <w:t xml:space="preserve"> to the size of the collection. </w:t>
      </w:r>
      <w:r w:rsidR="00C945F4">
        <w:t>This approach values each component in equal proportion.</w:t>
      </w:r>
      <w:r w:rsidR="00CF6947">
        <w:t xml:space="preserve">  The result is that a</w:t>
      </w:r>
      <w:r w:rsidR="00D44D9A">
        <w:t xml:space="preserve"> high</w:t>
      </w:r>
      <w:r w:rsidR="00CF6947">
        <w:t xml:space="preserve"> score for one component can </w:t>
      </w:r>
      <w:r w:rsidR="00D44D9A">
        <w:t>compensate for a</w:t>
      </w:r>
      <w:r w:rsidR="00CF6947">
        <w:t xml:space="preserve"> </w:t>
      </w:r>
      <w:r w:rsidR="00D44D9A">
        <w:t>proportionally lower score</w:t>
      </w:r>
      <w:r w:rsidR="00CF6947">
        <w:t xml:space="preserve"> </w:t>
      </w:r>
      <w:r w:rsidR="006E740D">
        <w:t>for</w:t>
      </w:r>
      <w:r w:rsidR="00CF6947">
        <w:t xml:space="preserve"> another component.  </w:t>
      </w:r>
    </w:p>
    <w:p w14:paraId="0A1D0505" w14:textId="77777777" w:rsidR="006B4135" w:rsidRPr="0075538B" w:rsidRDefault="00DD6067" w:rsidP="000D6158">
      <w:pPr>
        <w:pStyle w:val="Listeafsnit"/>
        <w:numPr>
          <w:ilvl w:val="0"/>
          <w:numId w:val="5"/>
        </w:numPr>
        <w:spacing w:after="120" w:line="240" w:lineRule="auto"/>
        <w:contextualSpacing w:val="0"/>
      </w:pPr>
      <w:r>
        <w:rPr>
          <w:b/>
          <w:i/>
        </w:rPr>
        <w:t>G</w:t>
      </w:r>
      <w:r w:rsidR="006B4135" w:rsidRPr="0075538B">
        <w:rPr>
          <w:b/>
          <w:i/>
        </w:rPr>
        <w:t>eometric average:</w:t>
      </w:r>
      <w:r w:rsidR="006B4135" w:rsidRPr="0075538B">
        <w:t xml:space="preserve"> </w:t>
      </w:r>
      <w:r w:rsidR="00D522AE">
        <w:t xml:space="preserve"> This n</w:t>
      </w:r>
      <w:r w:rsidR="006E740D">
        <w:t xml:space="preserve">on-linear approach uses the product of the components to the </w:t>
      </w:r>
      <w:r w:rsidR="006E740D" w:rsidRPr="006E740D">
        <w:rPr>
          <w:i/>
        </w:rPr>
        <w:t>n</w:t>
      </w:r>
      <w:r w:rsidR="006E740D" w:rsidRPr="006E740D">
        <w:rPr>
          <w:i/>
          <w:vertAlign w:val="superscript"/>
        </w:rPr>
        <w:t>th</w:t>
      </w:r>
      <w:r w:rsidR="006E740D">
        <w:t xml:space="preserve"> root (where </w:t>
      </w:r>
      <w:r w:rsidR="006E740D" w:rsidRPr="006E740D">
        <w:rPr>
          <w:i/>
        </w:rPr>
        <w:t>n</w:t>
      </w:r>
      <w:r w:rsidR="006E740D">
        <w:t xml:space="preserve"> </w:t>
      </w:r>
      <w:r w:rsidR="004C44DB">
        <w:t>is the size of the collection).</w:t>
      </w:r>
      <w:r w:rsidR="00B3312D">
        <w:t xml:space="preserve">This </w:t>
      </w:r>
      <w:r w:rsidR="00BD00AA">
        <w:t xml:space="preserve">approach rewards </w:t>
      </w:r>
      <w:r w:rsidR="00F304CC">
        <w:t xml:space="preserve">a </w:t>
      </w:r>
      <w:r w:rsidR="004C44DB">
        <w:t>high</w:t>
      </w:r>
      <w:r w:rsidR="00BD00AA">
        <w:t xml:space="preserve"> score for </w:t>
      </w:r>
      <w:r w:rsidR="00F304CC">
        <w:t>each component</w:t>
      </w:r>
      <w:r w:rsidR="00BD00AA">
        <w:t xml:space="preserve"> </w:t>
      </w:r>
      <w:r w:rsidR="00906EDD">
        <w:t xml:space="preserve">and penalizes </w:t>
      </w:r>
      <w:r w:rsidR="00F304CC">
        <w:t xml:space="preserve">a </w:t>
      </w:r>
      <w:r w:rsidR="00906EDD">
        <w:t>low</w:t>
      </w:r>
      <w:r w:rsidR="00F304CC">
        <w:t xml:space="preserve"> score</w:t>
      </w:r>
      <w:r w:rsidR="00906EDD">
        <w:t xml:space="preserve"> </w:t>
      </w:r>
      <w:r w:rsidR="00BD00AA">
        <w:t>more than a linear</w:t>
      </w:r>
      <w:r w:rsidR="00906EDD">
        <w:t xml:space="preserve"> aggregation</w:t>
      </w:r>
      <w:r w:rsidR="00BD00AA">
        <w:t xml:space="preserve"> approach</w:t>
      </w:r>
      <w:r w:rsidR="004C44DB">
        <w:t xml:space="preserve">. </w:t>
      </w:r>
      <w:r w:rsidR="00D44D9A">
        <w:t xml:space="preserve">The result is </w:t>
      </w:r>
      <w:r w:rsidR="00D44D9A">
        <w:lastRenderedPageBreak/>
        <w:t xml:space="preserve">that it is much more difficult for a high score in one component to offset or compensate for a low score in another component. </w:t>
      </w:r>
    </w:p>
    <w:p w14:paraId="16565514" w14:textId="3D9F450D" w:rsidR="006B4135" w:rsidRDefault="006F6EE5" w:rsidP="000D6158">
      <w:pPr>
        <w:pStyle w:val="Listeafsnit"/>
        <w:numPr>
          <w:ilvl w:val="0"/>
          <w:numId w:val="5"/>
        </w:numPr>
        <w:spacing w:after="0" w:line="240" w:lineRule="auto"/>
      </w:pPr>
      <w:r>
        <w:rPr>
          <w:b/>
          <w:i/>
        </w:rPr>
        <w:t xml:space="preserve">Assigning a </w:t>
      </w:r>
      <w:r w:rsidR="006B4135" w:rsidRPr="0075538B">
        <w:rPr>
          <w:b/>
          <w:i/>
        </w:rPr>
        <w:t>“</w:t>
      </w:r>
      <w:r>
        <w:rPr>
          <w:b/>
          <w:i/>
        </w:rPr>
        <w:t>k</w:t>
      </w:r>
      <w:r w:rsidR="006B4135" w:rsidRPr="0075538B">
        <w:rPr>
          <w:b/>
          <w:i/>
        </w:rPr>
        <w:t>nock-out” threshold:</w:t>
      </w:r>
      <w:r w:rsidR="006B4135" w:rsidRPr="0075538B">
        <w:t xml:space="preserve"> </w:t>
      </w:r>
      <w:r w:rsidR="004C44DB">
        <w:t xml:space="preserve"> </w:t>
      </w:r>
      <w:r w:rsidR="00456181">
        <w:t xml:space="preserve">In this approach, </w:t>
      </w:r>
      <w:r w:rsidR="00F304CC">
        <w:t xml:space="preserve">a minimum threshold value is set </w:t>
      </w:r>
      <w:r w:rsidR="004C44DB">
        <w:t xml:space="preserve">that specific components </w:t>
      </w:r>
      <w:r w:rsidR="00F304CC">
        <w:t>must be met</w:t>
      </w:r>
      <w:r w:rsidR="004C44DB">
        <w:t xml:space="preserve"> if the set of components is to be aggregated. Failure of one component to meet its threshold prevents the aggregation from occurring. This approach c</w:t>
      </w:r>
      <w:r w:rsidR="00F304CC">
        <w:t xml:space="preserve">ould </w:t>
      </w:r>
      <w:r w:rsidR="00456181">
        <w:t xml:space="preserve">apply to the integration of </w:t>
      </w:r>
      <w:r w:rsidR="00F304CC">
        <w:t xml:space="preserve">the environmental sustainability index </w:t>
      </w:r>
      <w:r w:rsidR="00456181">
        <w:t xml:space="preserve">into </w:t>
      </w:r>
      <w:r w:rsidR="00156626">
        <w:t>a</w:t>
      </w:r>
      <w:r w:rsidR="00456181">
        <w:t xml:space="preserve"> larger </w:t>
      </w:r>
      <w:r w:rsidR="00156626">
        <w:t>agricultural index</w:t>
      </w:r>
      <w:r w:rsidR="00456181">
        <w:t xml:space="preserve">. </w:t>
      </w:r>
      <w:r w:rsidR="00156626">
        <w:t>For example, i</w:t>
      </w:r>
      <w:r w:rsidR="004C44DB">
        <w:t>f a country fails to meet a minimum threshold for environmental sustaina</w:t>
      </w:r>
      <w:r w:rsidR="00156626">
        <w:t xml:space="preserve">bility, it would not receive an overall index </w:t>
      </w:r>
      <w:r w:rsidR="004C44DB">
        <w:t>“score” or a very poor score, no matter how well the co</w:t>
      </w:r>
      <w:r w:rsidR="00156626">
        <w:t xml:space="preserve">untry performs on the other </w:t>
      </w:r>
      <w:r w:rsidR="004C44DB">
        <w:t>indices.</w:t>
      </w:r>
      <w:r w:rsidR="00456181">
        <w:t xml:space="preserve"> </w:t>
      </w:r>
    </w:p>
    <w:p w14:paraId="4A71EEB1" w14:textId="77777777" w:rsidR="00014AD0" w:rsidRPr="00014AD0" w:rsidRDefault="00014AD0" w:rsidP="00FF015E">
      <w:pPr>
        <w:pStyle w:val="Listeafsnit"/>
        <w:spacing w:after="0" w:line="240" w:lineRule="auto"/>
      </w:pPr>
    </w:p>
    <w:p w14:paraId="090AA5F4" w14:textId="0C37389C" w:rsidR="006B4135" w:rsidRDefault="000F5170" w:rsidP="000F5170">
      <w:pPr>
        <w:spacing w:after="0" w:line="240" w:lineRule="auto"/>
        <w:jc w:val="center"/>
        <w:rPr>
          <w:sz w:val="20"/>
          <w:szCs w:val="20"/>
        </w:rPr>
      </w:pPr>
      <w:r>
        <w:rPr>
          <w:noProof/>
          <w:sz w:val="20"/>
          <w:szCs w:val="20"/>
          <w:lang w:val="da-DK" w:eastAsia="da-DK"/>
        </w:rPr>
        <w:drawing>
          <wp:inline distT="0" distB="0" distL="0" distR="0" wp14:anchorId="3D83609C" wp14:editId="70DD10B1">
            <wp:extent cx="4747260" cy="3560445"/>
            <wp:effectExtent l="19050" t="19050" r="15240" b="209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 update 2a.jpg"/>
                    <pic:cNvPicPr/>
                  </pic:nvPicPr>
                  <pic:blipFill>
                    <a:blip r:embed="rId20">
                      <a:extLst>
                        <a:ext uri="{28A0092B-C50C-407E-A947-70E740481C1C}">
                          <a14:useLocalDpi xmlns:a14="http://schemas.microsoft.com/office/drawing/2010/main" val="0"/>
                        </a:ext>
                      </a:extLst>
                    </a:blip>
                    <a:stretch>
                      <a:fillRect/>
                    </a:stretch>
                  </pic:blipFill>
                  <pic:spPr>
                    <a:xfrm>
                      <a:off x="0" y="0"/>
                      <a:ext cx="4754508" cy="3565881"/>
                    </a:xfrm>
                    <a:prstGeom prst="rect">
                      <a:avLst/>
                    </a:prstGeom>
                    <a:ln>
                      <a:solidFill>
                        <a:schemeClr val="tx1"/>
                      </a:solidFill>
                    </a:ln>
                  </pic:spPr>
                </pic:pic>
              </a:graphicData>
            </a:graphic>
          </wp:inline>
        </w:drawing>
      </w:r>
    </w:p>
    <w:p w14:paraId="244E3B56" w14:textId="77777777" w:rsidR="006B4135" w:rsidRDefault="006B4135" w:rsidP="006B4135">
      <w:pPr>
        <w:spacing w:after="0" w:line="240" w:lineRule="auto"/>
        <w:rPr>
          <w:color w:val="0000FF"/>
          <w:sz w:val="24"/>
          <w:szCs w:val="24"/>
        </w:rPr>
      </w:pPr>
    </w:p>
    <w:p w14:paraId="6847124E" w14:textId="77777777" w:rsidR="00B22569" w:rsidRDefault="006B4135" w:rsidP="004236D2">
      <w:pPr>
        <w:spacing w:after="0" w:line="240" w:lineRule="auto"/>
      </w:pPr>
      <w:r>
        <w:t xml:space="preserve">When integrating </w:t>
      </w:r>
      <w:r w:rsidR="0075538B">
        <w:t>indicators into an overall index</w:t>
      </w:r>
      <w:r>
        <w:t>, a few points are important to keep in mind. First, no one integration approach for designing an index is considered statistically or scientifically superior to another</w:t>
      </w:r>
      <w:r w:rsidR="00CA507E">
        <w:t xml:space="preserve"> and all represent value judgments</w:t>
      </w:r>
      <w:r>
        <w:t>.</w:t>
      </w:r>
      <w:r>
        <w:rPr>
          <w:rStyle w:val="Slutnotehenvisning"/>
        </w:rPr>
        <w:endnoteReference w:id="16"/>
      </w:r>
      <w:r>
        <w:t xml:space="preserve"> Second, the approach selected depends largely on the index’s intended purpose.</w:t>
      </w:r>
      <w:r>
        <w:rPr>
          <w:rStyle w:val="Slutnotehenvisning"/>
        </w:rPr>
        <w:endnoteReference w:id="17"/>
      </w:r>
      <w:r>
        <w:t xml:space="preserve"> Third, avoid having constituent indicators that overlap or cover the same issue, otherwise there will be “double counting” of some indicators in the aggregate index. Fourth, avoid having constituent indicators that are the opposite of each other, otherwise there will be “zeroing out” of components of the aggregate index.</w:t>
      </w:r>
    </w:p>
    <w:p w14:paraId="5F4E5FF9" w14:textId="77777777" w:rsidR="004236D2" w:rsidRPr="00FF015E" w:rsidRDefault="004236D2" w:rsidP="004236D2">
      <w:pPr>
        <w:spacing w:after="0" w:line="240" w:lineRule="auto"/>
        <w:rPr>
          <w:color w:val="000099"/>
        </w:rPr>
      </w:pPr>
    </w:p>
    <w:p w14:paraId="5CC4BA42" w14:textId="77777777" w:rsidR="00434907" w:rsidRPr="00FF015E" w:rsidRDefault="00434907" w:rsidP="000D6158">
      <w:pPr>
        <w:pStyle w:val="Overskrift1"/>
        <w:numPr>
          <w:ilvl w:val="0"/>
          <w:numId w:val="4"/>
        </w:numPr>
        <w:spacing w:before="0" w:line="240" w:lineRule="auto"/>
        <w:ind w:left="450" w:hanging="450"/>
        <w:rPr>
          <w:rFonts w:asciiTheme="minorHAnsi" w:hAnsiTheme="minorHAnsi"/>
          <w:caps/>
          <w:color w:val="000099"/>
          <w:sz w:val="22"/>
          <w:szCs w:val="22"/>
        </w:rPr>
      </w:pPr>
      <w:bookmarkStart w:id="36" w:name="_Toc352660944"/>
      <w:bookmarkStart w:id="37" w:name="_Toc386694783"/>
      <w:bookmarkStart w:id="38" w:name="_Toc387076763"/>
      <w:r w:rsidRPr="00FF015E">
        <w:rPr>
          <w:rFonts w:asciiTheme="minorHAnsi" w:hAnsiTheme="minorHAnsi"/>
          <w:caps/>
          <w:color w:val="000099"/>
          <w:sz w:val="22"/>
          <w:szCs w:val="22"/>
        </w:rPr>
        <w:t>PROPOSED NEXT STEPS</w:t>
      </w:r>
      <w:bookmarkEnd w:id="36"/>
      <w:bookmarkEnd w:id="37"/>
      <w:bookmarkEnd w:id="38"/>
    </w:p>
    <w:p w14:paraId="022A57E9" w14:textId="77777777" w:rsidR="004236D2" w:rsidRDefault="004236D2" w:rsidP="004236D2">
      <w:pPr>
        <w:spacing w:after="0" w:line="240" w:lineRule="auto"/>
      </w:pPr>
    </w:p>
    <w:p w14:paraId="05244516" w14:textId="0B6A3C09" w:rsidR="00D33F3C" w:rsidRDefault="004236D2" w:rsidP="00DF58F0">
      <w:pPr>
        <w:spacing w:after="0" w:line="240" w:lineRule="auto"/>
      </w:pPr>
      <w:r w:rsidRPr="004236D2">
        <w:t xml:space="preserve">Designing </w:t>
      </w:r>
      <w:r w:rsidR="000F43AD">
        <w:t>indicators</w:t>
      </w:r>
      <w:r w:rsidR="00294349">
        <w:t xml:space="preserve"> and an index </w:t>
      </w:r>
      <w:r w:rsidR="000F43AD">
        <w:t>for</w:t>
      </w:r>
      <w:r w:rsidR="00294349">
        <w:t xml:space="preserve"> the</w:t>
      </w:r>
      <w:r w:rsidRPr="004236D2">
        <w:t xml:space="preserve"> environmental sustainability </w:t>
      </w:r>
      <w:r w:rsidR="00294349">
        <w:t xml:space="preserve">of agriculture </w:t>
      </w:r>
      <w:r w:rsidR="000F43AD">
        <w:t>will require new work. I</w:t>
      </w:r>
      <w:r w:rsidRPr="004236D2">
        <w:t xml:space="preserve">t </w:t>
      </w:r>
      <w:r w:rsidR="004D0235">
        <w:t>is</w:t>
      </w:r>
      <w:r w:rsidRPr="004236D2">
        <w:t xml:space="preserve"> not </w:t>
      </w:r>
      <w:r w:rsidR="004D0235">
        <w:t>possible to</w:t>
      </w:r>
      <w:r w:rsidRPr="004236D2">
        <w:t xml:space="preserve"> simply </w:t>
      </w:r>
      <w:r w:rsidR="004D0235">
        <w:t>adopt or repackage an</w:t>
      </w:r>
      <w:r w:rsidRPr="004236D2">
        <w:t xml:space="preserve"> existing </w:t>
      </w:r>
      <w:r w:rsidR="004D0235">
        <w:t>index or indicators and end up with something that is sufficiently robust</w:t>
      </w:r>
      <w:r w:rsidRPr="004236D2">
        <w:t>. While data exist for some indicators, there are still remaining information gaps that hinder designing a</w:t>
      </w:r>
      <w:r w:rsidR="000F43AD">
        <w:t xml:space="preserve"> suite of indicators and associated</w:t>
      </w:r>
      <w:r w:rsidRPr="004236D2">
        <w:t xml:space="preserve"> index that </w:t>
      </w:r>
      <w:r w:rsidR="000F43AD">
        <w:t>sufficiently covers the range of important thematic areas</w:t>
      </w:r>
      <w:r w:rsidRPr="004236D2">
        <w:t xml:space="preserve">. Closing these gaps will require a collaboration of partners with a </w:t>
      </w:r>
      <w:r w:rsidRPr="004236D2">
        <w:lastRenderedPageBreak/>
        <w:t xml:space="preserve">variety of expertise ranging from data gatherers and statisticians to agriculture and sustainability experts. </w:t>
      </w:r>
    </w:p>
    <w:p w14:paraId="1D2D8682" w14:textId="77777777" w:rsidR="00D33F3C" w:rsidRDefault="00D33F3C" w:rsidP="00DF58F0">
      <w:pPr>
        <w:spacing w:after="0" w:line="240" w:lineRule="auto"/>
      </w:pPr>
    </w:p>
    <w:p w14:paraId="7186E25B" w14:textId="1966F6C1" w:rsidR="00DF58F0" w:rsidRDefault="00DF58F0" w:rsidP="00DF58F0">
      <w:pPr>
        <w:spacing w:after="0" w:line="240" w:lineRule="auto"/>
      </w:pPr>
      <w:r>
        <w:t xml:space="preserve">Given the wide variation in data availability, </w:t>
      </w:r>
      <w:r w:rsidR="000F43AD">
        <w:t>a pragmatic</w:t>
      </w:r>
      <w:r w:rsidR="00D33F3C">
        <w:t xml:space="preserve"> </w:t>
      </w:r>
      <w:r>
        <w:t xml:space="preserve">process for developing </w:t>
      </w:r>
      <w:r w:rsidR="000F43AD">
        <w:t>the indicators and an</w:t>
      </w:r>
      <w:r>
        <w:t xml:space="preserve"> index </w:t>
      </w:r>
      <w:r w:rsidR="00D33F3C">
        <w:t>could</w:t>
      </w:r>
      <w:r w:rsidR="000F43AD">
        <w:t xml:space="preserve"> be to produce a version 1.0</w:t>
      </w:r>
      <w:r>
        <w:t xml:space="preserve"> </w:t>
      </w:r>
      <w:r w:rsidR="000F43AD">
        <w:t xml:space="preserve">that is later replaced by a </w:t>
      </w:r>
      <w:r>
        <w:t>version 2.0</w:t>
      </w:r>
      <w:r w:rsidR="000F43AD">
        <w:t>. V</w:t>
      </w:r>
      <w:r>
        <w:t xml:space="preserve">ersion 1.0 </w:t>
      </w:r>
      <w:r w:rsidR="00D33F3C">
        <w:t>would</w:t>
      </w:r>
      <w:r>
        <w:t xml:space="preserve"> be based upon indicators </w:t>
      </w:r>
      <w:r w:rsidR="000F43AD">
        <w:t>for which data</w:t>
      </w:r>
      <w:r>
        <w:t xml:space="preserve"> are readily available, </w:t>
      </w:r>
      <w:r w:rsidR="000F43AD">
        <w:t>including</w:t>
      </w:r>
      <w:r>
        <w:t xml:space="preserve"> existing global datasets from FAO and the World Bank, and thus </w:t>
      </w:r>
      <w:r w:rsidR="00D33F3C">
        <w:t>would</w:t>
      </w:r>
      <w:r>
        <w:t xml:space="preserve"> take less time to complete </w:t>
      </w:r>
      <w:r w:rsidR="00D33F3C">
        <w:t>and</w:t>
      </w:r>
      <w:r>
        <w:t xml:space="preserve"> serve as a </w:t>
      </w:r>
      <w:r w:rsidR="00D33F3C">
        <w:t>“first cut”</w:t>
      </w:r>
      <w:r>
        <w:t xml:space="preserve"> </w:t>
      </w:r>
      <w:r w:rsidR="000F43AD">
        <w:t xml:space="preserve">set of indicators and </w:t>
      </w:r>
      <w:r>
        <w:t xml:space="preserve">index. </w:t>
      </w:r>
      <w:r w:rsidR="004D0235">
        <w:t xml:space="preserve">They might not be comprehensive or ideal, but they would be a start. </w:t>
      </w:r>
      <w:r w:rsidR="00D33F3C">
        <w:t>V</w:t>
      </w:r>
      <w:r>
        <w:t xml:space="preserve">ersion 2.0 </w:t>
      </w:r>
      <w:r w:rsidR="000F43AD">
        <w:t>would</w:t>
      </w:r>
      <w:r>
        <w:t xml:space="preserve"> build upon </w:t>
      </w:r>
      <w:r w:rsidR="00D33F3C">
        <w:t>this</w:t>
      </w:r>
      <w:r>
        <w:t xml:space="preserve"> </w:t>
      </w:r>
      <w:r w:rsidR="00D33F3C">
        <w:t>by adding or substituting in</w:t>
      </w:r>
      <w:r w:rsidR="0026591D">
        <w:t xml:space="preserve"> novel </w:t>
      </w:r>
      <w:r>
        <w:t xml:space="preserve">indicators </w:t>
      </w:r>
      <w:r w:rsidR="000F43AD">
        <w:t xml:space="preserve">that </w:t>
      </w:r>
      <w:r w:rsidR="0026591D">
        <w:t xml:space="preserve">require substantial, new </w:t>
      </w:r>
      <w:r>
        <w:t xml:space="preserve">data collection.  </w:t>
      </w:r>
    </w:p>
    <w:p w14:paraId="34E9E38D" w14:textId="77777777" w:rsidR="004236D2" w:rsidRPr="004236D2" w:rsidRDefault="004236D2" w:rsidP="004236D2">
      <w:pPr>
        <w:keepNext/>
        <w:keepLines/>
        <w:spacing w:after="0" w:line="240" w:lineRule="auto"/>
        <w:outlineLvl w:val="1"/>
        <w:rPr>
          <w:rFonts w:eastAsiaTheme="majorEastAsia" w:cstheme="majorBidi"/>
          <w:b/>
          <w:bCs/>
          <w:color w:val="0000CC"/>
        </w:rPr>
      </w:pPr>
      <w:bookmarkStart w:id="39" w:name="_Toc352596609"/>
    </w:p>
    <w:bookmarkEnd w:id="39"/>
    <w:p w14:paraId="363A9ADD" w14:textId="2B164195" w:rsidR="00294349" w:rsidRDefault="004236D2" w:rsidP="005A1477">
      <w:pPr>
        <w:spacing w:after="0" w:line="240" w:lineRule="auto"/>
      </w:pPr>
      <w:r w:rsidRPr="004236D2">
        <w:t>The following provide</w:t>
      </w:r>
      <w:r w:rsidR="0026591D">
        <w:t>s</w:t>
      </w:r>
      <w:r w:rsidRPr="004236D2">
        <w:t xml:space="preserve"> an overview of activities, end products, </w:t>
      </w:r>
      <w:r w:rsidR="0026591D">
        <w:t xml:space="preserve">and who to engage </w:t>
      </w:r>
      <w:r w:rsidRPr="004236D2">
        <w:t xml:space="preserve">for </w:t>
      </w:r>
      <w:r w:rsidR="004D0235">
        <w:t>creating</w:t>
      </w:r>
      <w:r w:rsidRPr="004236D2">
        <w:t xml:space="preserve"> </w:t>
      </w:r>
      <w:r w:rsidR="0026591D">
        <w:t>an</w:t>
      </w:r>
      <w:r w:rsidRPr="004236D2">
        <w:t xml:space="preserve"> environmental sustainability </w:t>
      </w:r>
      <w:r w:rsidR="0026591D">
        <w:t>of agriculture index and suite of indicators</w:t>
      </w:r>
      <w:r w:rsidR="005A1477">
        <w:t>.</w:t>
      </w:r>
    </w:p>
    <w:p w14:paraId="0FDEB817" w14:textId="77777777" w:rsidR="005A1477" w:rsidRPr="005A1477" w:rsidRDefault="005A1477" w:rsidP="005A1477">
      <w:pPr>
        <w:spacing w:after="0" w:line="240" w:lineRule="auto"/>
      </w:pPr>
    </w:p>
    <w:p w14:paraId="1855C2BC" w14:textId="77777777" w:rsidR="004236D2" w:rsidRPr="00890365" w:rsidRDefault="004236D2" w:rsidP="00890365">
      <w:pPr>
        <w:pStyle w:val="Overskrift2"/>
        <w:spacing w:before="0" w:after="120" w:line="240" w:lineRule="auto"/>
        <w:rPr>
          <w:rFonts w:asciiTheme="minorHAnsi" w:hAnsiTheme="minorHAnsi"/>
          <w:color w:val="000099"/>
          <w:sz w:val="22"/>
          <w:szCs w:val="22"/>
        </w:rPr>
      </w:pPr>
      <w:bookmarkStart w:id="40" w:name="_Toc386694784"/>
      <w:bookmarkStart w:id="41" w:name="_Toc387076764"/>
      <w:r w:rsidRPr="00890365">
        <w:rPr>
          <w:rFonts w:asciiTheme="minorHAnsi" w:hAnsiTheme="minorHAnsi"/>
          <w:color w:val="000099"/>
          <w:sz w:val="22"/>
          <w:szCs w:val="22"/>
        </w:rPr>
        <w:t>Activities</w:t>
      </w:r>
      <w:bookmarkEnd w:id="40"/>
      <w:bookmarkEnd w:id="41"/>
    </w:p>
    <w:p w14:paraId="2D1C54AE" w14:textId="6D1E08C6" w:rsidR="004236D2" w:rsidRPr="004236D2" w:rsidRDefault="006543F4" w:rsidP="007532BD">
      <w:pPr>
        <w:spacing w:after="120" w:line="240" w:lineRule="auto"/>
      </w:pPr>
      <w:r>
        <w:t>Primary</w:t>
      </w:r>
      <w:r w:rsidR="004236D2" w:rsidRPr="004236D2">
        <w:t xml:space="preserve"> activities include:</w:t>
      </w:r>
    </w:p>
    <w:p w14:paraId="5C3047E3" w14:textId="798F799B" w:rsidR="00DF58F0" w:rsidRPr="004236D2" w:rsidRDefault="00DF58F0" w:rsidP="000D6158">
      <w:pPr>
        <w:numPr>
          <w:ilvl w:val="0"/>
          <w:numId w:val="15"/>
        </w:numPr>
        <w:spacing w:after="120" w:line="240" w:lineRule="auto"/>
      </w:pPr>
      <w:r>
        <w:t>Refine the purpose,</w:t>
      </w:r>
      <w:r w:rsidR="004D0235">
        <w:t xml:space="preserve"> scope, target audience of an </w:t>
      </w:r>
      <w:r>
        <w:t xml:space="preserve">environmental sustainability </w:t>
      </w:r>
      <w:r w:rsidR="004D0235">
        <w:t>of</w:t>
      </w:r>
      <w:r>
        <w:t xml:space="preserve"> agricul</w:t>
      </w:r>
      <w:r w:rsidR="004D0235">
        <w:t>ture index.</w:t>
      </w:r>
    </w:p>
    <w:p w14:paraId="4342C28E" w14:textId="299703DC" w:rsidR="00DF58F0" w:rsidRDefault="00DF58F0" w:rsidP="000D6158">
      <w:pPr>
        <w:numPr>
          <w:ilvl w:val="0"/>
          <w:numId w:val="15"/>
        </w:numPr>
        <w:spacing w:after="120" w:line="240" w:lineRule="auto"/>
      </w:pPr>
      <w:r>
        <w:t>Confirm or refine</w:t>
      </w:r>
      <w:r w:rsidRPr="004236D2">
        <w:t xml:space="preserve"> the </w:t>
      </w:r>
      <w:r>
        <w:t xml:space="preserve">parameters for selecting </w:t>
      </w:r>
      <w:r w:rsidRPr="004236D2">
        <w:t>candidate indicators</w:t>
      </w:r>
      <w:r w:rsidR="004D0235">
        <w:t xml:space="preserve"> (i.e.</w:t>
      </w:r>
      <w:r>
        <w:t xml:space="preserve">, thematic areas, causal chain, screening criteria) identified in </w:t>
      </w:r>
      <w:r w:rsidR="004D0235">
        <w:t>this scoping exercise.</w:t>
      </w:r>
    </w:p>
    <w:p w14:paraId="365A6CBB" w14:textId="0CD410C9" w:rsidR="00DF58F0" w:rsidRDefault="00DF58F0" w:rsidP="000D6158">
      <w:pPr>
        <w:numPr>
          <w:ilvl w:val="0"/>
          <w:numId w:val="15"/>
        </w:numPr>
        <w:spacing w:after="120" w:line="240" w:lineRule="auto"/>
      </w:pPr>
      <w:r>
        <w:t xml:space="preserve">Applying these parameters, refine </w:t>
      </w:r>
      <w:r w:rsidR="003C28A8">
        <w:t xml:space="preserve">the </w:t>
      </w:r>
      <w:r>
        <w:t xml:space="preserve">selection of optimal candidate indicators, identifying those that could be </w:t>
      </w:r>
      <w:r w:rsidR="00064042">
        <w:t xml:space="preserve">prepared relatively quickly for a version 1.0 and those that are </w:t>
      </w:r>
      <w:r>
        <w:t>ideal but will take time to develo</w:t>
      </w:r>
      <w:r w:rsidR="00064042">
        <w:t>p or collect the requisite data and thus could be part of an version 2.0</w:t>
      </w:r>
      <w:r w:rsidR="003C28A8">
        <w:t>.</w:t>
      </w:r>
    </w:p>
    <w:p w14:paraId="6D0043E4" w14:textId="6C25A725" w:rsidR="00DF58F0" w:rsidRDefault="00DF58F0" w:rsidP="000D6158">
      <w:pPr>
        <w:numPr>
          <w:ilvl w:val="0"/>
          <w:numId w:val="15"/>
        </w:numPr>
        <w:spacing w:after="120" w:line="240" w:lineRule="auto"/>
      </w:pPr>
      <w:r>
        <w:t>For the candidate indicators to be included in version 2.0, contact and engage existing and prospective</w:t>
      </w:r>
      <w:r w:rsidRPr="004236D2">
        <w:t xml:space="preserve"> providers</w:t>
      </w:r>
      <w:r w:rsidR="0026591D">
        <w:t xml:space="preserve"> </w:t>
      </w:r>
      <w:r>
        <w:t>of the requisite data</w:t>
      </w:r>
      <w:r w:rsidR="00064042">
        <w:t>.  D</w:t>
      </w:r>
      <w:r>
        <w:t>evelop a “data gathering” (for existing data) and “data generat</w:t>
      </w:r>
      <w:r w:rsidR="00064042">
        <w:t>ion” (for missing data) strategy, and c</w:t>
      </w:r>
      <w:r>
        <w:t>reate a “mandate” or demand signal for missing requisite data to be collected</w:t>
      </w:r>
    </w:p>
    <w:p w14:paraId="3CBD3B6B" w14:textId="7B8A348B" w:rsidR="00DF58F0" w:rsidRDefault="00DF58F0" w:rsidP="00DF58F0">
      <w:pPr>
        <w:keepNext/>
        <w:spacing w:after="120" w:line="240" w:lineRule="auto"/>
      </w:pPr>
      <w:r>
        <w:t xml:space="preserve">The following activities apply to </w:t>
      </w:r>
      <w:r w:rsidR="00064042">
        <w:t xml:space="preserve">both </w:t>
      </w:r>
      <w:r>
        <w:t>versions 1.0 and 2.0:</w:t>
      </w:r>
    </w:p>
    <w:p w14:paraId="429D4F8A" w14:textId="50ED3258" w:rsidR="00DF58F0" w:rsidRDefault="00DF58F0" w:rsidP="000D6158">
      <w:pPr>
        <w:pStyle w:val="Listeafsnit"/>
        <w:numPr>
          <w:ilvl w:val="0"/>
          <w:numId w:val="14"/>
        </w:numPr>
        <w:spacing w:after="120" w:line="240" w:lineRule="auto"/>
      </w:pPr>
      <w:r>
        <w:t xml:space="preserve">Road test the candidate indicators and data collection in at least </w:t>
      </w:r>
      <w:r w:rsidR="003C28A8">
        <w:t>a dozen</w:t>
      </w:r>
      <w:r>
        <w:t xml:space="preserve"> countries </w:t>
      </w:r>
      <w:r w:rsidR="003C28A8">
        <w:t>representing different degrees of agricultural development,</w:t>
      </w:r>
      <w:r>
        <w:t xml:space="preserve"> to determine feasibility of gathering sufficient data and to refine indicator design</w:t>
      </w:r>
      <w:r w:rsidR="003C28A8">
        <w:t>s.</w:t>
      </w:r>
    </w:p>
    <w:p w14:paraId="2801288B" w14:textId="0F4362F5" w:rsidR="00DF58F0" w:rsidRDefault="00DF58F0" w:rsidP="000D6158">
      <w:pPr>
        <w:numPr>
          <w:ilvl w:val="0"/>
          <w:numId w:val="14"/>
        </w:numPr>
        <w:spacing w:after="120" w:line="240" w:lineRule="auto"/>
      </w:pPr>
      <w:r>
        <w:t xml:space="preserve">Start collecting data for </w:t>
      </w:r>
      <w:r w:rsidR="003C28A8">
        <w:t xml:space="preserve">a </w:t>
      </w:r>
      <w:r>
        <w:t>full set of countries based on insights from the road test</w:t>
      </w:r>
      <w:r w:rsidR="003C28A8">
        <w:t>s.</w:t>
      </w:r>
    </w:p>
    <w:p w14:paraId="1D20AE36" w14:textId="6E61000A" w:rsidR="00DF58F0" w:rsidRDefault="003C28A8" w:rsidP="000D6158">
      <w:pPr>
        <w:numPr>
          <w:ilvl w:val="0"/>
          <w:numId w:val="14"/>
        </w:numPr>
        <w:spacing w:after="120" w:line="240" w:lineRule="auto"/>
      </w:pPr>
      <w:r>
        <w:t>R</w:t>
      </w:r>
      <w:r w:rsidR="00DF58F0">
        <w:t>efine the w</w:t>
      </w:r>
      <w:r w:rsidR="00DF58F0" w:rsidRPr="004236D2">
        <w:t>eighting and aggregation</w:t>
      </w:r>
      <w:r w:rsidR="00DF58F0">
        <w:t xml:space="preserve"> method for combining indicators into an </w:t>
      </w:r>
      <w:r>
        <w:t>index.</w:t>
      </w:r>
      <w:r w:rsidR="005A1477">
        <w:t xml:space="preserve"> </w:t>
      </w:r>
      <w:r w:rsidR="00DF58F0">
        <w:t>Engage</w:t>
      </w:r>
      <w:r w:rsidR="00DF58F0" w:rsidRPr="004236D2">
        <w:t xml:space="preserve"> statisticians and other experts on creating composite indices to evaluate </w:t>
      </w:r>
      <w:r w:rsidR="00DF58F0">
        <w:t>and refine the</w:t>
      </w:r>
      <w:r w:rsidR="00DF58F0" w:rsidRPr="004236D2">
        <w:t xml:space="preserve"> methodology for combining indicato</w:t>
      </w:r>
      <w:r w:rsidR="00DF58F0">
        <w:t>rs</w:t>
      </w:r>
      <w:r w:rsidR="005A1477">
        <w:t xml:space="preserve">. </w:t>
      </w:r>
      <w:r w:rsidR="00DF58F0">
        <w:t xml:space="preserve">Where necessary, conduct </w:t>
      </w:r>
      <w:r w:rsidR="00DF58F0" w:rsidRPr="004236D2">
        <w:t xml:space="preserve">multivariate analysis to </w:t>
      </w:r>
      <w:r w:rsidR="00DF58F0">
        <w:t>determine</w:t>
      </w:r>
      <w:r w:rsidR="00DF58F0" w:rsidRPr="004236D2">
        <w:t xml:space="preserve"> the suitability of the underlying datasets</w:t>
      </w:r>
      <w:r w:rsidR="00DF58F0">
        <w:t>, adjust</w:t>
      </w:r>
      <w:r w:rsidR="00DF58F0" w:rsidRPr="004236D2">
        <w:t xml:space="preserve"> </w:t>
      </w:r>
      <w:r w:rsidR="00DF58F0">
        <w:t>data</w:t>
      </w:r>
      <w:r w:rsidR="00DF58F0" w:rsidRPr="004236D2">
        <w:t>sets to account for outliers</w:t>
      </w:r>
      <w:r w:rsidR="00DF58F0">
        <w:t>, and perform</w:t>
      </w:r>
      <w:r w:rsidR="00DF58F0" w:rsidRPr="004236D2">
        <w:t xml:space="preserve"> sensitivity </w:t>
      </w:r>
      <w:r w:rsidR="00DF58F0">
        <w:t>analysis of the index</w:t>
      </w:r>
      <w:r w:rsidR="005A1477">
        <w:t>.</w:t>
      </w:r>
    </w:p>
    <w:p w14:paraId="5D487490" w14:textId="679F8590" w:rsidR="00DF58F0" w:rsidRPr="004236D2" w:rsidRDefault="00DF58F0" w:rsidP="000D6158">
      <w:pPr>
        <w:numPr>
          <w:ilvl w:val="0"/>
          <w:numId w:val="14"/>
        </w:numPr>
        <w:spacing w:after="120" w:line="240" w:lineRule="auto"/>
      </w:pPr>
      <w:r>
        <w:t>Produce</w:t>
      </w:r>
      <w:r w:rsidRPr="004236D2">
        <w:t xml:space="preserve"> th</w:t>
      </w:r>
      <w:r>
        <w:t xml:space="preserve">e environmental sustainability </w:t>
      </w:r>
      <w:r w:rsidR="003C28A8">
        <w:t>of agriculture</w:t>
      </w:r>
      <w:r>
        <w:t xml:space="preserve"> index and interpret results</w:t>
      </w:r>
      <w:r w:rsidR="003C28A8">
        <w:t>.</w:t>
      </w:r>
    </w:p>
    <w:p w14:paraId="5EDF20C1" w14:textId="6DD3C358" w:rsidR="00DF58F0" w:rsidRPr="004236D2" w:rsidRDefault="00DF58F0" w:rsidP="000D6158">
      <w:pPr>
        <w:numPr>
          <w:ilvl w:val="0"/>
          <w:numId w:val="14"/>
        </w:numPr>
        <w:spacing w:after="120" w:line="240" w:lineRule="auto"/>
      </w:pPr>
      <w:r>
        <w:t>Develop and publish a report summarizing the rationale, methods, content, and results of the environmental sustainability index</w:t>
      </w:r>
      <w:r w:rsidR="003C28A8">
        <w:t>.</w:t>
      </w:r>
      <w:r>
        <w:t xml:space="preserve"> </w:t>
      </w:r>
    </w:p>
    <w:p w14:paraId="30F87B4F" w14:textId="35005B10" w:rsidR="00DF58F0" w:rsidRDefault="003C28A8" w:rsidP="000D6158">
      <w:pPr>
        <w:numPr>
          <w:ilvl w:val="0"/>
          <w:numId w:val="14"/>
        </w:numPr>
        <w:spacing w:after="120" w:line="240" w:lineRule="auto"/>
      </w:pPr>
      <w:r>
        <w:t>D</w:t>
      </w:r>
      <w:r w:rsidR="00DF58F0">
        <w:t xml:space="preserve">evelop (or provide content to) an online platform that displays the results of the environmental sustainability </w:t>
      </w:r>
      <w:r>
        <w:t xml:space="preserve">of agriculture </w:t>
      </w:r>
      <w:r w:rsidR="00DF58F0">
        <w:t xml:space="preserve">index, its constituent indicators, and the underlying </w:t>
      </w:r>
      <w:r w:rsidR="00DF58F0">
        <w:lastRenderedPageBreak/>
        <w:t xml:space="preserve">data. </w:t>
      </w:r>
      <w:r w:rsidR="00DF58F0" w:rsidRPr="003C28A8">
        <w:t>Transparency in the design of the index and in the constituent data is paramount to its uptake and credibility. Providing open access to the raw and indexed data will be important, serving to drive further study and evaluation of environmental sustainability.</w:t>
      </w:r>
    </w:p>
    <w:p w14:paraId="479F4E74" w14:textId="18527D05" w:rsidR="00DF58F0" w:rsidRPr="004236D2" w:rsidRDefault="003C28A8" w:rsidP="000D6158">
      <w:pPr>
        <w:numPr>
          <w:ilvl w:val="0"/>
          <w:numId w:val="14"/>
        </w:numPr>
        <w:spacing w:after="120" w:line="240" w:lineRule="auto"/>
      </w:pPr>
      <w:r>
        <w:t>C</w:t>
      </w:r>
      <w:r w:rsidR="00DF58F0">
        <w:t>onduct outreach regarding the index to raise awareness of its existence and utility and to stimulate use</w:t>
      </w:r>
      <w:r>
        <w:t>.</w:t>
      </w:r>
    </w:p>
    <w:p w14:paraId="4591A04A" w14:textId="2F92E9C8" w:rsidR="00DF58F0" w:rsidRPr="004236D2" w:rsidRDefault="00DF58F0" w:rsidP="000D6158">
      <w:pPr>
        <w:numPr>
          <w:ilvl w:val="0"/>
          <w:numId w:val="14"/>
        </w:numPr>
        <w:spacing w:after="0" w:line="240" w:lineRule="auto"/>
      </w:pPr>
      <w:r>
        <w:t>Develop a</w:t>
      </w:r>
      <w:r w:rsidRPr="004236D2">
        <w:t xml:space="preserve"> long-term funding and maintenance strategy</w:t>
      </w:r>
      <w:r>
        <w:t xml:space="preserve"> for the index.</w:t>
      </w:r>
    </w:p>
    <w:p w14:paraId="24B4864C" w14:textId="77777777" w:rsidR="0030426A" w:rsidRPr="004236D2" w:rsidRDefault="0030426A" w:rsidP="004236D2">
      <w:pPr>
        <w:spacing w:after="0" w:line="240" w:lineRule="auto"/>
      </w:pPr>
    </w:p>
    <w:p w14:paraId="3C90E3E2" w14:textId="77777777" w:rsidR="004236D2" w:rsidRPr="00890365" w:rsidRDefault="004236D2" w:rsidP="00890365">
      <w:pPr>
        <w:pStyle w:val="Overskrift2"/>
        <w:spacing w:before="0" w:after="120" w:line="240" w:lineRule="auto"/>
        <w:rPr>
          <w:rFonts w:asciiTheme="minorHAnsi" w:hAnsiTheme="minorHAnsi"/>
          <w:color w:val="000099"/>
          <w:sz w:val="22"/>
          <w:szCs w:val="22"/>
        </w:rPr>
      </w:pPr>
      <w:bookmarkStart w:id="42" w:name="_Toc386694785"/>
      <w:bookmarkStart w:id="43" w:name="_Toc387076765"/>
      <w:r w:rsidRPr="00890365">
        <w:rPr>
          <w:rFonts w:asciiTheme="minorHAnsi" w:hAnsiTheme="minorHAnsi"/>
          <w:color w:val="000099"/>
          <w:sz w:val="22"/>
          <w:szCs w:val="22"/>
        </w:rPr>
        <w:t>End products</w:t>
      </w:r>
      <w:bookmarkEnd w:id="42"/>
      <w:bookmarkEnd w:id="43"/>
    </w:p>
    <w:p w14:paraId="1D831983" w14:textId="77777777" w:rsidR="004236D2" w:rsidRPr="004236D2" w:rsidRDefault="004236D2" w:rsidP="004D4D0E">
      <w:pPr>
        <w:spacing w:after="120" w:line="240" w:lineRule="auto"/>
      </w:pPr>
      <w:r w:rsidRPr="004236D2">
        <w:t xml:space="preserve">The end products </w:t>
      </w:r>
      <w:r w:rsidR="004D4D0E">
        <w:t>of this effort</w:t>
      </w:r>
      <w:r w:rsidRPr="004236D2">
        <w:t xml:space="preserve"> include:</w:t>
      </w:r>
    </w:p>
    <w:p w14:paraId="38323484" w14:textId="62C5377B" w:rsidR="007046A4" w:rsidRPr="004236D2" w:rsidRDefault="0026591D" w:rsidP="000D6158">
      <w:pPr>
        <w:numPr>
          <w:ilvl w:val="0"/>
          <w:numId w:val="7"/>
        </w:numPr>
        <w:spacing w:after="120" w:line="240" w:lineRule="auto"/>
      </w:pPr>
      <w:r>
        <w:t>An operational</w:t>
      </w:r>
      <w:r w:rsidR="007046A4" w:rsidRPr="004236D2">
        <w:t xml:space="preserve"> “environmental sustainability </w:t>
      </w:r>
      <w:r>
        <w:t>of</w:t>
      </w:r>
      <w:r w:rsidR="007046A4" w:rsidRPr="004236D2">
        <w:t xml:space="preserve"> agriculture” </w:t>
      </w:r>
      <w:r w:rsidR="007046A4">
        <w:t>index</w:t>
      </w:r>
      <w:r>
        <w:t xml:space="preserve"> and indicators</w:t>
      </w:r>
      <w:r w:rsidR="007046A4">
        <w:t>.</w:t>
      </w:r>
    </w:p>
    <w:p w14:paraId="4B165EC5" w14:textId="49705F8D" w:rsidR="007046A4" w:rsidRPr="004236D2" w:rsidRDefault="007046A4" w:rsidP="000D6158">
      <w:pPr>
        <w:numPr>
          <w:ilvl w:val="0"/>
          <w:numId w:val="7"/>
        </w:numPr>
        <w:spacing w:after="120" w:line="240" w:lineRule="auto"/>
      </w:pPr>
      <w:r w:rsidRPr="004236D2">
        <w:t xml:space="preserve">A published report on the environmental sustainability </w:t>
      </w:r>
      <w:r w:rsidR="0026591D">
        <w:t>of</w:t>
      </w:r>
      <w:r w:rsidRPr="004236D2">
        <w:t xml:space="preserve"> agriculture index, including its purpose (“why”), details on its component data (“what”), and description of how it </w:t>
      </w:r>
      <w:r>
        <w:t>is</w:t>
      </w:r>
      <w:r w:rsidRPr="004236D2">
        <w:t xml:space="preserve"> designed</w:t>
      </w:r>
      <w:r>
        <w:t xml:space="preserve"> and compiled </w:t>
      </w:r>
      <w:r w:rsidRPr="004236D2">
        <w:t xml:space="preserve">(“how”).  </w:t>
      </w:r>
    </w:p>
    <w:p w14:paraId="343E851B" w14:textId="75160BE5" w:rsidR="007046A4" w:rsidRPr="004236D2" w:rsidRDefault="007046A4" w:rsidP="000D6158">
      <w:pPr>
        <w:numPr>
          <w:ilvl w:val="0"/>
          <w:numId w:val="7"/>
        </w:numPr>
        <w:spacing w:after="120" w:line="240" w:lineRule="auto"/>
      </w:pPr>
      <w:r w:rsidRPr="004236D2">
        <w:t xml:space="preserve">Info-graphics to clearly and simply convey the results and main messages of the environmental sustainability </w:t>
      </w:r>
      <w:r w:rsidR="0026591D">
        <w:t>of</w:t>
      </w:r>
      <w:r w:rsidRPr="004236D2">
        <w:t xml:space="preserve"> agriculture index</w:t>
      </w:r>
      <w:r w:rsidR="0026591D">
        <w:t xml:space="preserve"> and indicators</w:t>
      </w:r>
      <w:r w:rsidRPr="004236D2">
        <w:t>.</w:t>
      </w:r>
    </w:p>
    <w:p w14:paraId="5D8538F8" w14:textId="77777777" w:rsidR="007046A4" w:rsidRDefault="007046A4" w:rsidP="000D6158">
      <w:pPr>
        <w:numPr>
          <w:ilvl w:val="0"/>
          <w:numId w:val="7"/>
        </w:numPr>
        <w:spacing w:after="0" w:line="240" w:lineRule="auto"/>
      </w:pPr>
      <w:r>
        <w:t>A website</w:t>
      </w:r>
      <w:r w:rsidRPr="004236D2">
        <w:t xml:space="preserve"> </w:t>
      </w:r>
      <w:r>
        <w:t>showcasing index results, interpretation</w:t>
      </w:r>
      <w:r w:rsidRPr="004236D2">
        <w:t>, and access to</w:t>
      </w:r>
      <w:r>
        <w:t xml:space="preserve"> component data</w:t>
      </w:r>
      <w:r w:rsidRPr="004236D2">
        <w:t>sets.</w:t>
      </w:r>
    </w:p>
    <w:p w14:paraId="5392E112" w14:textId="77777777" w:rsidR="00B515A7" w:rsidRPr="004236D2" w:rsidRDefault="00B515A7" w:rsidP="005A1477">
      <w:pPr>
        <w:spacing w:after="0" w:line="240" w:lineRule="auto"/>
      </w:pPr>
    </w:p>
    <w:p w14:paraId="772C362A" w14:textId="77777777" w:rsidR="004236D2" w:rsidRPr="00890365" w:rsidRDefault="004236D2" w:rsidP="00890365">
      <w:pPr>
        <w:pStyle w:val="Overskrift2"/>
        <w:spacing w:before="0" w:after="120" w:line="240" w:lineRule="auto"/>
        <w:rPr>
          <w:rFonts w:asciiTheme="minorHAnsi" w:hAnsiTheme="minorHAnsi"/>
          <w:color w:val="000099"/>
          <w:sz w:val="22"/>
          <w:szCs w:val="22"/>
        </w:rPr>
      </w:pPr>
      <w:bookmarkStart w:id="44" w:name="_Toc386694786"/>
      <w:bookmarkStart w:id="45" w:name="_Toc387076766"/>
      <w:r w:rsidRPr="00890365">
        <w:rPr>
          <w:rFonts w:asciiTheme="minorHAnsi" w:hAnsiTheme="minorHAnsi"/>
          <w:color w:val="000099"/>
          <w:sz w:val="22"/>
          <w:szCs w:val="22"/>
        </w:rPr>
        <w:t>Who to engage</w:t>
      </w:r>
      <w:bookmarkEnd w:id="44"/>
      <w:bookmarkEnd w:id="45"/>
    </w:p>
    <w:p w14:paraId="7626E7CF" w14:textId="644BA040" w:rsidR="004236D2" w:rsidRPr="004236D2" w:rsidRDefault="004D4D0E" w:rsidP="004236D2">
      <w:pPr>
        <w:spacing w:after="0" w:line="240" w:lineRule="auto"/>
      </w:pPr>
      <w:r>
        <w:t xml:space="preserve">Entities to engage in this process include </w:t>
      </w:r>
      <w:r w:rsidR="004236D2" w:rsidRPr="004236D2">
        <w:t xml:space="preserve">FAO, OECD, </w:t>
      </w:r>
      <w:r w:rsidR="0026591D">
        <w:t>the CGIAR research c</w:t>
      </w:r>
      <w:r w:rsidR="00325311">
        <w:t xml:space="preserve">enters, </w:t>
      </w:r>
      <w:r w:rsidR="0026591D">
        <w:t>national</w:t>
      </w:r>
      <w:r w:rsidR="004236D2" w:rsidRPr="004236D2">
        <w:t xml:space="preserve"> agriculture ministries</w:t>
      </w:r>
      <w:r>
        <w:t xml:space="preserve"> (for feedback on indicators)</w:t>
      </w:r>
      <w:r w:rsidR="004236D2" w:rsidRPr="004236D2">
        <w:t xml:space="preserve">, </w:t>
      </w:r>
      <w:r w:rsidR="0026591D">
        <w:t>national</w:t>
      </w:r>
      <w:r w:rsidR="004236D2" w:rsidRPr="004236D2">
        <w:t xml:space="preserve"> environment ministries, </w:t>
      </w:r>
      <w:r>
        <w:t xml:space="preserve">The </w:t>
      </w:r>
      <w:r w:rsidR="004236D2" w:rsidRPr="004236D2">
        <w:t>World Bank, bilateral development agenci</w:t>
      </w:r>
      <w:r w:rsidRPr="004D4D0E">
        <w:t>es</w:t>
      </w:r>
      <w:r>
        <w:t>, and research organizations.</w:t>
      </w:r>
    </w:p>
    <w:p w14:paraId="4D97E875" w14:textId="77777777" w:rsidR="004236D2" w:rsidRPr="004236D2" w:rsidRDefault="004236D2" w:rsidP="004236D2">
      <w:pPr>
        <w:spacing w:after="0" w:line="240" w:lineRule="auto"/>
      </w:pPr>
    </w:p>
    <w:p w14:paraId="1555E234" w14:textId="34800F26" w:rsidR="000C28EC" w:rsidRPr="005A1477" w:rsidRDefault="005A1477" w:rsidP="00871047">
      <w:pPr>
        <w:pStyle w:val="Overskrift2"/>
        <w:spacing w:before="0" w:after="120" w:line="240" w:lineRule="auto"/>
        <w:rPr>
          <w:rFonts w:asciiTheme="minorHAnsi" w:hAnsiTheme="minorHAnsi"/>
          <w:color w:val="000099"/>
          <w:sz w:val="22"/>
          <w:szCs w:val="22"/>
        </w:rPr>
      </w:pPr>
      <w:bookmarkStart w:id="46" w:name="_Toc386694787"/>
      <w:bookmarkStart w:id="47" w:name="_Toc387076767"/>
      <w:r w:rsidRPr="005A1477">
        <w:rPr>
          <w:rFonts w:asciiTheme="minorHAnsi" w:hAnsiTheme="minorHAnsi"/>
          <w:color w:val="000099"/>
          <w:sz w:val="22"/>
          <w:szCs w:val="22"/>
        </w:rPr>
        <w:t>Concluding thoughts</w:t>
      </w:r>
      <w:bookmarkEnd w:id="46"/>
      <w:bookmarkEnd w:id="47"/>
    </w:p>
    <w:p w14:paraId="70CAC752" w14:textId="77777777" w:rsidR="003B6855" w:rsidRDefault="003B6855" w:rsidP="003B6855">
      <w:pPr>
        <w:spacing w:after="0" w:line="240" w:lineRule="auto"/>
      </w:pPr>
      <w:r>
        <w:t>Quantifiable indicators of the environmental sustainability of agriculture will enable policymakers, farmers, businesses, and civil society to better understand current conditions, identify trends, set targets, monitor progress, and compare performance between regi</w:t>
      </w:r>
      <w:r w:rsidR="00CB23BE">
        <w:t>ons and countries.  If appropriately designed, they can foster incentives for the sector or nations to improve performance.  And they make managing the nexus between agriculture and the environment easier; it is hard to manage that which is not measured.  For these reasons, i</w:t>
      </w:r>
      <w:r>
        <w:t>ndicators are an important ingredient in achieving a sustainable food future.</w:t>
      </w:r>
    </w:p>
    <w:p w14:paraId="2E4D9A03" w14:textId="77777777" w:rsidR="003B6855" w:rsidRDefault="003B6855" w:rsidP="003B6855">
      <w:pPr>
        <w:spacing w:after="0" w:line="240" w:lineRule="auto"/>
      </w:pPr>
    </w:p>
    <w:p w14:paraId="53D9DA5E" w14:textId="77777777" w:rsidR="00B70B62" w:rsidRDefault="00B70B62" w:rsidP="00C83AAC">
      <w:pPr>
        <w:spacing w:after="0" w:line="240" w:lineRule="auto"/>
        <w:sectPr w:rsidR="00B70B62">
          <w:endnotePr>
            <w:numFmt w:val="decimal"/>
          </w:endnotePr>
          <w:pgSz w:w="12240" w:h="15840"/>
          <w:pgMar w:top="1440" w:right="1440" w:bottom="1440" w:left="1440" w:header="720" w:footer="720" w:gutter="0"/>
          <w:cols w:space="720"/>
          <w:docGrid w:linePitch="360"/>
        </w:sectPr>
      </w:pPr>
    </w:p>
    <w:p w14:paraId="5648DB65" w14:textId="0D1A699A" w:rsidR="00B759CC" w:rsidRDefault="00B759CC" w:rsidP="00B759CC">
      <w:pPr>
        <w:pStyle w:val="Overskrift1"/>
        <w:spacing w:before="0" w:line="240" w:lineRule="auto"/>
        <w:rPr>
          <w:rFonts w:asciiTheme="minorHAnsi" w:hAnsiTheme="minorHAnsi"/>
          <w:color w:val="000099"/>
          <w:sz w:val="22"/>
          <w:szCs w:val="22"/>
        </w:rPr>
      </w:pPr>
      <w:bookmarkStart w:id="48" w:name="_Toc387076768"/>
      <w:bookmarkStart w:id="49" w:name="_Toc386694788"/>
      <w:r>
        <w:rPr>
          <w:rFonts w:asciiTheme="minorHAnsi" w:hAnsiTheme="minorHAnsi"/>
          <w:color w:val="000099"/>
          <w:sz w:val="22"/>
          <w:szCs w:val="22"/>
        </w:rPr>
        <w:lastRenderedPageBreak/>
        <w:t>REFERENCES</w:t>
      </w:r>
      <w:bookmarkEnd w:id="48"/>
    </w:p>
    <w:p w14:paraId="4951FA6F" w14:textId="77777777" w:rsidR="00B759CC" w:rsidRPr="00B759CC" w:rsidRDefault="00B759CC" w:rsidP="00B759CC">
      <w:pPr>
        <w:spacing w:after="0" w:line="240" w:lineRule="auto"/>
      </w:pPr>
    </w:p>
    <w:p w14:paraId="0612CBC1" w14:textId="6A7938B6" w:rsidR="00B759CC" w:rsidRPr="0040326D" w:rsidRDefault="0040326D" w:rsidP="0040326D">
      <w:pPr>
        <w:spacing w:after="0" w:line="240" w:lineRule="auto"/>
      </w:pPr>
      <w:r>
        <w:t>FAO. 2011</w:t>
      </w:r>
      <w:r w:rsidR="00B759CC" w:rsidRPr="0040326D">
        <w:t xml:space="preserve">. </w:t>
      </w:r>
      <w:r w:rsidR="00B759CC" w:rsidRPr="0040326D">
        <w:rPr>
          <w:i/>
        </w:rPr>
        <w:t>The State of the World’s Land and Water Resources for Food and Agriculture</w:t>
      </w:r>
      <w:r w:rsidR="00B759CC" w:rsidRPr="0040326D">
        <w:t>.</w:t>
      </w:r>
      <w:r>
        <w:t xml:space="preserve"> Rome: FAO.</w:t>
      </w:r>
      <w:r w:rsidR="00B759CC" w:rsidRPr="0040326D">
        <w:t xml:space="preserve"> </w:t>
      </w:r>
    </w:p>
    <w:p w14:paraId="690144B8" w14:textId="61F79378" w:rsidR="00B759CC" w:rsidRPr="0040326D" w:rsidRDefault="00B759CC" w:rsidP="0040326D">
      <w:pPr>
        <w:spacing w:after="0" w:line="240" w:lineRule="auto"/>
      </w:pPr>
      <w:r w:rsidRPr="0040326D">
        <w:t xml:space="preserve">  </w:t>
      </w:r>
    </w:p>
    <w:p w14:paraId="21B4A87F" w14:textId="77777777" w:rsidR="00B759CC" w:rsidRPr="0040326D" w:rsidRDefault="00B759CC" w:rsidP="0040326D">
      <w:pPr>
        <w:spacing w:after="0" w:line="240" w:lineRule="auto"/>
        <w:rPr>
          <w:rStyle w:val="Hyperlink"/>
          <w:color w:val="auto"/>
        </w:rPr>
      </w:pPr>
      <w:r w:rsidRPr="0040326D">
        <w:t xml:space="preserve">FAO. 2013. </w:t>
      </w:r>
      <w:r w:rsidRPr="0040326D">
        <w:rPr>
          <w:i/>
        </w:rPr>
        <w:t>AQUASTAT – FAO’s Information System on Water and Agriculture.</w:t>
      </w:r>
      <w:r w:rsidRPr="0040326D">
        <w:t xml:space="preserve"> Rome: FAO. Online at: </w:t>
      </w:r>
      <w:hyperlink r:id="rId21" w:history="1">
        <w:r w:rsidRPr="0040326D">
          <w:rPr>
            <w:rStyle w:val="Hyperlink"/>
            <w:color w:val="auto"/>
          </w:rPr>
          <w:t>http://www.fao.org/nr/water/aquastat/water_use/index.stm</w:t>
        </w:r>
      </w:hyperlink>
    </w:p>
    <w:p w14:paraId="20B57B4E" w14:textId="77777777" w:rsidR="00B759CC" w:rsidRPr="0040326D" w:rsidRDefault="00B759CC" w:rsidP="0040326D">
      <w:pPr>
        <w:spacing w:after="0" w:line="240" w:lineRule="auto"/>
        <w:rPr>
          <w:rStyle w:val="Hyperlink"/>
          <w:color w:val="auto"/>
          <w:u w:val="none"/>
        </w:rPr>
      </w:pPr>
    </w:p>
    <w:p w14:paraId="11E569C2" w14:textId="47817C3A" w:rsidR="00B759CC" w:rsidRPr="0040326D" w:rsidRDefault="00B759CC" w:rsidP="0040326D">
      <w:pPr>
        <w:spacing w:after="0" w:line="240" w:lineRule="auto"/>
        <w:rPr>
          <w:rStyle w:val="Hyperlink"/>
          <w:color w:val="auto"/>
          <w:u w:val="none"/>
        </w:rPr>
      </w:pPr>
      <w:r w:rsidRPr="0040326D">
        <w:t>Faeth, P. and P. Crosson.1994. Building the case for sustainable agriculture</w:t>
      </w:r>
      <w:r w:rsidRPr="0040326D">
        <w:rPr>
          <w:i/>
        </w:rPr>
        <w:t>, Environment</w:t>
      </w:r>
      <w:r w:rsidRPr="0040326D">
        <w:t xml:space="preserve"> </w:t>
      </w:r>
      <w:r w:rsidRPr="0040326D">
        <w:rPr>
          <w:b/>
        </w:rPr>
        <w:t>36</w:t>
      </w:r>
      <w:r w:rsidR="0040326D">
        <w:rPr>
          <w:b/>
        </w:rPr>
        <w:t xml:space="preserve"> </w:t>
      </w:r>
      <w:r w:rsidRPr="0040326D">
        <w:t>(1): 16-20.</w:t>
      </w:r>
    </w:p>
    <w:p w14:paraId="29170448" w14:textId="77777777" w:rsidR="00B759CC" w:rsidRPr="0040326D" w:rsidRDefault="00B759CC" w:rsidP="0040326D">
      <w:pPr>
        <w:spacing w:after="0" w:line="240" w:lineRule="auto"/>
        <w:rPr>
          <w:rStyle w:val="Hyperlink"/>
          <w:color w:val="auto"/>
          <w:u w:val="none"/>
        </w:rPr>
      </w:pPr>
    </w:p>
    <w:p w14:paraId="5B920F7A" w14:textId="251E66C8" w:rsidR="00B759CC" w:rsidRPr="0040326D" w:rsidRDefault="00B759CC" w:rsidP="0040326D">
      <w:pPr>
        <w:spacing w:after="0" w:line="240" w:lineRule="auto"/>
        <w:rPr>
          <w:rStyle w:val="Hyperlink"/>
          <w:color w:val="auto"/>
          <w:u w:val="none"/>
        </w:rPr>
      </w:pPr>
      <w:r w:rsidRPr="0040326D">
        <w:rPr>
          <w:rStyle w:val="Hyperlink"/>
          <w:color w:val="auto"/>
          <w:u w:val="none"/>
        </w:rPr>
        <w:t xml:space="preserve">Foley, J. A., R. DeFries, G. P. Asner, C. Barford, G. Bonan, S. R. Carpenter, F. S. Chapin, M. T. Coe, G. C. Daily, H. K. Gibbs, J. H. Helkowski, T. Holloway, E. A. Howard, C. J. Kucharik, C. Monfreda, J. A. Patz, I. C. Prentice, N. Ramankutty, and P. K. Snyder. 2005. “Global Consequences of Land Use.” </w:t>
      </w:r>
      <w:r w:rsidRPr="0040326D">
        <w:rPr>
          <w:rStyle w:val="Hyperlink"/>
          <w:i/>
          <w:color w:val="auto"/>
          <w:u w:val="none"/>
        </w:rPr>
        <w:t>Science</w:t>
      </w:r>
      <w:r w:rsidRPr="0040326D">
        <w:rPr>
          <w:rStyle w:val="Hyperlink"/>
          <w:color w:val="auto"/>
          <w:u w:val="none"/>
        </w:rPr>
        <w:t xml:space="preserve"> 309, 570-574.</w:t>
      </w:r>
    </w:p>
    <w:p w14:paraId="42CBF262" w14:textId="77777777" w:rsidR="00B759CC" w:rsidRPr="0040326D" w:rsidRDefault="00B759CC" w:rsidP="0040326D">
      <w:pPr>
        <w:spacing w:after="0" w:line="240" w:lineRule="auto"/>
        <w:rPr>
          <w:rStyle w:val="Hyperlink"/>
          <w:color w:val="auto"/>
          <w:u w:val="none"/>
        </w:rPr>
      </w:pPr>
    </w:p>
    <w:p w14:paraId="6B7EA179" w14:textId="0975222C" w:rsidR="00B759CC" w:rsidRPr="0040326D" w:rsidRDefault="00B759CC" w:rsidP="0040326D">
      <w:pPr>
        <w:spacing w:after="0" w:line="240" w:lineRule="auto"/>
      </w:pPr>
      <w:r w:rsidRPr="00F16309">
        <w:rPr>
          <w:lang w:val="da-DK"/>
        </w:rPr>
        <w:t xml:space="preserve">Kissinger, G., M. Herold, and V. De Sy. 2012. </w:t>
      </w:r>
      <w:r w:rsidRPr="0040326D">
        <w:rPr>
          <w:i/>
        </w:rPr>
        <w:t>Drivers of Deforestation and Forest Degradation: A Synthesis Report for REDD+ Policymakers.</w:t>
      </w:r>
      <w:r w:rsidRPr="0040326D">
        <w:t xml:space="preserve"> Vancouver, Canada: Lexeme Consulting.</w:t>
      </w:r>
    </w:p>
    <w:p w14:paraId="4AE2FDE6" w14:textId="77777777" w:rsidR="00B759CC" w:rsidRPr="0040326D" w:rsidRDefault="00B759CC" w:rsidP="0040326D">
      <w:pPr>
        <w:spacing w:after="0" w:line="240" w:lineRule="auto"/>
        <w:rPr>
          <w:rStyle w:val="Hyperlink"/>
          <w:color w:val="auto"/>
          <w:u w:val="none"/>
        </w:rPr>
      </w:pPr>
    </w:p>
    <w:p w14:paraId="172A0B17" w14:textId="77777777" w:rsidR="00B759CC" w:rsidRPr="0040326D" w:rsidRDefault="00B759CC" w:rsidP="0040326D">
      <w:pPr>
        <w:spacing w:after="0" w:line="240" w:lineRule="auto"/>
      </w:pPr>
      <w:r w:rsidRPr="0040326D">
        <w:t>Millennium Ecosystem Assessment. 2005. Washington, DC:  Island Press.</w:t>
      </w:r>
    </w:p>
    <w:p w14:paraId="51016269" w14:textId="77777777" w:rsidR="00B759CC" w:rsidRPr="0040326D" w:rsidRDefault="00B759CC" w:rsidP="0040326D">
      <w:pPr>
        <w:spacing w:after="0" w:line="240" w:lineRule="auto"/>
      </w:pPr>
    </w:p>
    <w:p w14:paraId="3EBC90FE" w14:textId="033AC4C1" w:rsidR="0040326D" w:rsidRPr="0040326D" w:rsidRDefault="0040326D" w:rsidP="0040326D">
      <w:pPr>
        <w:spacing w:after="0" w:line="240" w:lineRule="auto"/>
      </w:pPr>
      <w:r w:rsidRPr="00F16309">
        <w:rPr>
          <w:rFonts w:cs="Arial"/>
          <w:shd w:val="clear" w:color="auto" w:fill="FFFFFF"/>
          <w:lang w:val="es-BO"/>
        </w:rPr>
        <w:t>Nardo, M., Saisana, M., Saltelli, A., Tarantola, S., Hoffman, A., &amp; Giovannini, E. 2005.</w:t>
      </w:r>
      <w:r w:rsidRPr="00F16309">
        <w:rPr>
          <w:rStyle w:val="apple-converted-space"/>
          <w:rFonts w:cs="Arial"/>
          <w:shd w:val="clear" w:color="auto" w:fill="FFFFFF"/>
          <w:lang w:val="es-BO"/>
        </w:rPr>
        <w:t> </w:t>
      </w:r>
      <w:r w:rsidRPr="0040326D">
        <w:rPr>
          <w:rFonts w:cs="Arial"/>
          <w:i/>
          <w:iCs/>
          <w:shd w:val="clear" w:color="auto" w:fill="FFFFFF"/>
        </w:rPr>
        <w:t>Handbook on constructing composite indicators: methodology and user guide</w:t>
      </w:r>
      <w:r w:rsidRPr="0040326D">
        <w:rPr>
          <w:rStyle w:val="apple-converted-space"/>
          <w:rFonts w:cs="Arial"/>
          <w:shd w:val="clear" w:color="auto" w:fill="FFFFFF"/>
        </w:rPr>
        <w:t> </w:t>
      </w:r>
      <w:r>
        <w:rPr>
          <w:rFonts w:cs="Arial"/>
          <w:shd w:val="clear" w:color="auto" w:fill="FFFFFF"/>
        </w:rPr>
        <w:t>(No. 2005/3). Paris:  OECD P</w:t>
      </w:r>
      <w:r w:rsidRPr="0040326D">
        <w:rPr>
          <w:rFonts w:cs="Arial"/>
          <w:shd w:val="clear" w:color="auto" w:fill="FFFFFF"/>
        </w:rPr>
        <w:t>ublishing.</w:t>
      </w:r>
    </w:p>
    <w:p w14:paraId="631325E1" w14:textId="77777777" w:rsidR="0040326D" w:rsidRPr="0040326D" w:rsidRDefault="0040326D" w:rsidP="0040326D">
      <w:pPr>
        <w:spacing w:after="0" w:line="240" w:lineRule="auto"/>
      </w:pPr>
    </w:p>
    <w:p w14:paraId="393A9BCC" w14:textId="5CFA587F" w:rsidR="0040326D" w:rsidRPr="0040326D" w:rsidRDefault="00B759CC" w:rsidP="0040326D">
      <w:pPr>
        <w:spacing w:after="0" w:line="240" w:lineRule="auto"/>
      </w:pPr>
      <w:r w:rsidRPr="0040326D">
        <w:t xml:space="preserve">OECD.2003. </w:t>
      </w:r>
      <w:r w:rsidRPr="0040326D">
        <w:rPr>
          <w:i/>
        </w:rPr>
        <w:t>Agricultural Impacts on Soil Erosion and Soil Biodiversity: Developing Indicat</w:t>
      </w:r>
      <w:r w:rsidR="0040326D" w:rsidRPr="0040326D">
        <w:rPr>
          <w:i/>
        </w:rPr>
        <w:t>ors for Policy Analysis.</w:t>
      </w:r>
      <w:r w:rsidR="0040326D">
        <w:t xml:space="preserve">  Paris:  OECD Publishing.  Online at:</w:t>
      </w:r>
      <w:r w:rsidRPr="0040326D">
        <w:t xml:space="preserve"> </w:t>
      </w:r>
      <w:hyperlink r:id="rId22" w:history="1">
        <w:r w:rsidRPr="0040326D">
          <w:rPr>
            <w:rStyle w:val="Hyperlink"/>
          </w:rPr>
          <w:t>www.oecd.org/tad/env/indicators</w:t>
        </w:r>
      </w:hyperlink>
      <w:r w:rsidRPr="0040326D">
        <w:t>.</w:t>
      </w:r>
    </w:p>
    <w:p w14:paraId="4F78ADCE" w14:textId="77777777" w:rsidR="00B759CC" w:rsidRPr="0040326D" w:rsidRDefault="00B759CC" w:rsidP="0040326D">
      <w:pPr>
        <w:spacing w:after="0" w:line="240" w:lineRule="auto"/>
      </w:pPr>
    </w:p>
    <w:p w14:paraId="5A245E60" w14:textId="4045688F" w:rsidR="0040326D" w:rsidRPr="0040326D" w:rsidRDefault="0040326D" w:rsidP="0040326D">
      <w:pPr>
        <w:spacing w:after="0" w:line="240" w:lineRule="auto"/>
      </w:pPr>
      <w:r w:rsidRPr="0040326D">
        <w:rPr>
          <w:rFonts w:cs="Arial"/>
        </w:rPr>
        <w:t xml:space="preserve">OECD. 2008. </w:t>
      </w:r>
      <w:r w:rsidRPr="0040326D">
        <w:rPr>
          <w:rFonts w:cs="Arial"/>
          <w:i/>
          <w:iCs/>
        </w:rPr>
        <w:t>Environmental Performance of Agriculture in OECD countries since 1990</w:t>
      </w:r>
      <w:r w:rsidRPr="0040326D">
        <w:rPr>
          <w:rFonts w:cs="Arial"/>
        </w:rPr>
        <w:t xml:space="preserve">, Paris, France, </w:t>
      </w:r>
      <w:hyperlink r:id="rId23" w:history="1">
        <w:r w:rsidRPr="0040326D">
          <w:rPr>
            <w:rStyle w:val="Hyperlink"/>
            <w:rFonts w:cs="Arial"/>
            <w:color w:val="auto"/>
          </w:rPr>
          <w:t>www.oecd.org/tad/env/indicators</w:t>
        </w:r>
      </w:hyperlink>
    </w:p>
    <w:p w14:paraId="45F81AAE" w14:textId="77777777" w:rsidR="0040326D" w:rsidRPr="0040326D" w:rsidRDefault="0040326D" w:rsidP="0040326D">
      <w:pPr>
        <w:spacing w:after="0" w:line="240" w:lineRule="auto"/>
      </w:pPr>
    </w:p>
    <w:p w14:paraId="5CB63CD7" w14:textId="1092079C" w:rsidR="00B759CC" w:rsidRDefault="00B759CC" w:rsidP="0040326D">
      <w:pPr>
        <w:spacing w:after="0" w:line="240" w:lineRule="auto"/>
        <w:rPr>
          <w:rFonts w:eastAsiaTheme="majorEastAsia" w:cstheme="majorBidi"/>
          <w:b/>
          <w:bCs/>
          <w:color w:val="000099"/>
        </w:rPr>
      </w:pPr>
      <w:r w:rsidRPr="0040326D">
        <w:rPr>
          <w:rFonts w:cs="AdvTT3713a231"/>
        </w:rPr>
        <w:t>Pimentel, D. 2006. Soil Erosion: A Food and En</w:t>
      </w:r>
      <w:r w:rsidR="0040326D">
        <w:rPr>
          <w:rFonts w:cs="AdvTT3713a231"/>
        </w:rPr>
        <w:t xml:space="preserve">vironmental Threat. Environment. </w:t>
      </w:r>
      <w:r w:rsidRPr="0040326D">
        <w:rPr>
          <w:rFonts w:cs="AdvTT3713a231"/>
        </w:rPr>
        <w:t xml:space="preserve"> </w:t>
      </w:r>
      <w:r w:rsidRPr="0040326D">
        <w:rPr>
          <w:rFonts w:cs="AdvTT3713a231"/>
          <w:i/>
        </w:rPr>
        <w:t>Development and Sustainability</w:t>
      </w:r>
      <w:r w:rsidRPr="0040326D">
        <w:rPr>
          <w:rFonts w:cs="AdvTT3713a231"/>
        </w:rPr>
        <w:t xml:space="preserve"> 8: 119</w:t>
      </w:r>
      <w:r w:rsidRPr="0040326D">
        <w:rPr>
          <w:rFonts w:cs="AdvTT3713a231+20"/>
        </w:rPr>
        <w:t>–</w:t>
      </w:r>
      <w:r w:rsidRPr="0040326D">
        <w:rPr>
          <w:rFonts w:cs="AdvTT3713a231"/>
        </w:rPr>
        <w:t>137.</w:t>
      </w:r>
      <w:r>
        <w:rPr>
          <w:color w:val="000099"/>
        </w:rPr>
        <w:br w:type="page"/>
      </w:r>
    </w:p>
    <w:p w14:paraId="679B3D2F" w14:textId="61DC5503" w:rsidR="00C83AAC" w:rsidRPr="00FB4C6F" w:rsidRDefault="00FB4C6F" w:rsidP="00276F95">
      <w:pPr>
        <w:pStyle w:val="Overskrift1"/>
        <w:spacing w:before="0" w:line="240" w:lineRule="auto"/>
      </w:pPr>
      <w:bookmarkStart w:id="50" w:name="_Toc387076769"/>
      <w:r w:rsidRPr="00276F95">
        <w:rPr>
          <w:rFonts w:asciiTheme="minorHAnsi" w:hAnsiTheme="minorHAnsi"/>
          <w:color w:val="000099"/>
          <w:sz w:val="22"/>
          <w:szCs w:val="22"/>
        </w:rPr>
        <w:lastRenderedPageBreak/>
        <w:t>ENDNOTES</w:t>
      </w:r>
      <w:bookmarkEnd w:id="49"/>
      <w:bookmarkEnd w:id="50"/>
    </w:p>
    <w:sectPr w:rsidR="00C83AAC" w:rsidRPr="00FB4C6F">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672AA" w14:textId="77777777" w:rsidR="006C0147" w:rsidRDefault="006C0147" w:rsidP="006E7A40">
      <w:pPr>
        <w:spacing w:after="0" w:line="240" w:lineRule="auto"/>
      </w:pPr>
      <w:r>
        <w:separator/>
      </w:r>
    </w:p>
  </w:endnote>
  <w:endnote w:type="continuationSeparator" w:id="0">
    <w:p w14:paraId="60BA01C5" w14:textId="77777777" w:rsidR="006C0147" w:rsidRDefault="006C0147" w:rsidP="006E7A40">
      <w:pPr>
        <w:spacing w:after="0" w:line="240" w:lineRule="auto"/>
      </w:pPr>
      <w:r>
        <w:continuationSeparator/>
      </w:r>
    </w:p>
  </w:endnote>
  <w:endnote w:type="continuationNotice" w:id="1">
    <w:p w14:paraId="49EF3619" w14:textId="77777777" w:rsidR="006C0147" w:rsidRDefault="006C0147">
      <w:pPr>
        <w:spacing w:after="0" w:line="240" w:lineRule="auto"/>
      </w:pPr>
    </w:p>
  </w:endnote>
  <w:endnote w:id="2">
    <w:p w14:paraId="195DC258" w14:textId="77777777" w:rsidR="002B5F8D" w:rsidRPr="00B759CC" w:rsidRDefault="002B5F8D" w:rsidP="00391BC3">
      <w:pPr>
        <w:pStyle w:val="Slutnotetekst"/>
        <w:rPr>
          <w:sz w:val="16"/>
          <w:szCs w:val="16"/>
        </w:rPr>
      </w:pPr>
      <w:r w:rsidRPr="00B759CC">
        <w:rPr>
          <w:rStyle w:val="Slutnotehenvisning"/>
          <w:sz w:val="16"/>
          <w:szCs w:val="16"/>
        </w:rPr>
        <w:endnoteRef/>
      </w:r>
      <w:r w:rsidRPr="00B759CC">
        <w:rPr>
          <w:sz w:val="16"/>
          <w:szCs w:val="16"/>
        </w:rPr>
        <w:t xml:space="preserve"> Such as the Agricultural Transformation Index and the Better Business in Agriculture index.</w:t>
      </w:r>
    </w:p>
  </w:endnote>
  <w:endnote w:id="3">
    <w:p w14:paraId="1B7F4726" w14:textId="291983C5" w:rsidR="002B5F8D" w:rsidRPr="00B759CC" w:rsidRDefault="002B5F8D" w:rsidP="00276F95">
      <w:pPr>
        <w:pStyle w:val="Slutnotetekst"/>
        <w:rPr>
          <w:sz w:val="16"/>
          <w:szCs w:val="16"/>
        </w:rPr>
      </w:pPr>
      <w:r w:rsidRPr="00B759CC">
        <w:rPr>
          <w:rStyle w:val="Slutnotehenvisning"/>
          <w:sz w:val="16"/>
          <w:szCs w:val="16"/>
        </w:rPr>
        <w:endnoteRef/>
      </w:r>
      <w:r>
        <w:rPr>
          <w:sz w:val="16"/>
          <w:szCs w:val="16"/>
        </w:rPr>
        <w:t xml:space="preserve"> FAO (</w:t>
      </w:r>
      <w:r w:rsidRPr="00B759CC">
        <w:rPr>
          <w:sz w:val="16"/>
          <w:szCs w:val="16"/>
        </w:rPr>
        <w:t>2013</w:t>
      </w:r>
      <w:r>
        <w:rPr>
          <w:sz w:val="16"/>
          <w:szCs w:val="16"/>
        </w:rPr>
        <w:t>)</w:t>
      </w:r>
      <w:r w:rsidRPr="00B759CC">
        <w:rPr>
          <w:sz w:val="16"/>
          <w:szCs w:val="16"/>
        </w:rPr>
        <w:t>.</w:t>
      </w:r>
    </w:p>
  </w:endnote>
  <w:endnote w:id="4">
    <w:p w14:paraId="7CD93C31" w14:textId="43393687" w:rsidR="002B5F8D" w:rsidRPr="00B759CC" w:rsidRDefault="002B5F8D" w:rsidP="00276F95">
      <w:pPr>
        <w:pStyle w:val="Slutnotetekst"/>
        <w:rPr>
          <w:sz w:val="16"/>
          <w:szCs w:val="16"/>
        </w:rPr>
      </w:pPr>
      <w:r w:rsidRPr="00B759CC">
        <w:rPr>
          <w:rStyle w:val="Slutnotehenvisning"/>
          <w:sz w:val="16"/>
          <w:szCs w:val="16"/>
        </w:rPr>
        <w:endnoteRef/>
      </w:r>
      <w:r>
        <w:rPr>
          <w:sz w:val="16"/>
          <w:szCs w:val="16"/>
        </w:rPr>
        <w:t xml:space="preserve"> Foley et al</w:t>
      </w:r>
      <w:r w:rsidRPr="00B759CC">
        <w:rPr>
          <w:sz w:val="16"/>
          <w:szCs w:val="16"/>
        </w:rPr>
        <w:t xml:space="preserve">. </w:t>
      </w:r>
      <w:r>
        <w:rPr>
          <w:sz w:val="16"/>
          <w:szCs w:val="16"/>
        </w:rPr>
        <w:t>(</w:t>
      </w:r>
      <w:r w:rsidRPr="00B759CC">
        <w:rPr>
          <w:sz w:val="16"/>
          <w:szCs w:val="16"/>
        </w:rPr>
        <w:t>2005</w:t>
      </w:r>
      <w:r>
        <w:rPr>
          <w:sz w:val="16"/>
          <w:szCs w:val="16"/>
        </w:rPr>
        <w:t xml:space="preserve">). </w:t>
      </w:r>
    </w:p>
  </w:endnote>
  <w:endnote w:id="5">
    <w:p w14:paraId="7AE4E577" w14:textId="2ADCADA6" w:rsidR="002B5F8D" w:rsidRPr="00B759CC" w:rsidRDefault="002B5F8D" w:rsidP="00276F95">
      <w:pPr>
        <w:pStyle w:val="Slutnotetekst"/>
        <w:rPr>
          <w:sz w:val="16"/>
          <w:szCs w:val="16"/>
        </w:rPr>
      </w:pPr>
      <w:r w:rsidRPr="00B759CC">
        <w:rPr>
          <w:rStyle w:val="Slutnotehenvisning"/>
          <w:sz w:val="16"/>
          <w:szCs w:val="16"/>
        </w:rPr>
        <w:endnoteRef/>
      </w:r>
      <w:r w:rsidRPr="00B759CC">
        <w:rPr>
          <w:sz w:val="16"/>
          <w:szCs w:val="16"/>
        </w:rPr>
        <w:t xml:space="preserve"> Climate change, in turn, can impact agricultural productivity and thus agriculture will need to adapt to climate change over time to maintain yields. But climate change adaptation is better suited to be part of a suite of agriculture productivity indicators, since adapting to climate change is not about reducing agriculture’s impact on climate but rather about enabling agriculture to maintain yields as the climate changes.</w:t>
      </w:r>
    </w:p>
  </w:endnote>
  <w:endnote w:id="6">
    <w:p w14:paraId="34E71744" w14:textId="58476A95" w:rsidR="002B5F8D" w:rsidRPr="00B759CC" w:rsidRDefault="002B5F8D" w:rsidP="00276F95">
      <w:pPr>
        <w:pStyle w:val="Slutnotetekst"/>
        <w:rPr>
          <w:sz w:val="16"/>
          <w:szCs w:val="16"/>
        </w:rPr>
      </w:pPr>
      <w:r w:rsidRPr="00B759CC">
        <w:rPr>
          <w:rStyle w:val="Slutnotehenvisning"/>
          <w:sz w:val="16"/>
          <w:szCs w:val="16"/>
        </w:rPr>
        <w:endnoteRef/>
      </w:r>
      <w:r w:rsidRPr="00B759CC">
        <w:rPr>
          <w:sz w:val="16"/>
          <w:szCs w:val="16"/>
        </w:rPr>
        <w:t xml:space="preserve"> M</w:t>
      </w:r>
      <w:r>
        <w:rPr>
          <w:sz w:val="16"/>
          <w:szCs w:val="16"/>
        </w:rPr>
        <w:t>illennium Ecosystem Assessment (</w:t>
      </w:r>
      <w:r w:rsidRPr="00B759CC">
        <w:rPr>
          <w:sz w:val="16"/>
          <w:szCs w:val="16"/>
        </w:rPr>
        <w:t>2005</w:t>
      </w:r>
      <w:r>
        <w:rPr>
          <w:sz w:val="16"/>
          <w:szCs w:val="16"/>
        </w:rPr>
        <w:t>)</w:t>
      </w:r>
      <w:r w:rsidRPr="00B759CC">
        <w:rPr>
          <w:sz w:val="16"/>
          <w:szCs w:val="16"/>
        </w:rPr>
        <w:t>.</w:t>
      </w:r>
    </w:p>
  </w:endnote>
  <w:endnote w:id="7">
    <w:p w14:paraId="20746219" w14:textId="50092F17" w:rsidR="002B5F8D" w:rsidRPr="00B759CC" w:rsidRDefault="002B5F8D" w:rsidP="00276F95">
      <w:pPr>
        <w:pStyle w:val="Slutnotetekst"/>
        <w:rPr>
          <w:sz w:val="16"/>
          <w:szCs w:val="16"/>
        </w:rPr>
      </w:pPr>
      <w:r w:rsidRPr="00B759CC">
        <w:rPr>
          <w:rStyle w:val="Slutnotehenvisning"/>
          <w:sz w:val="16"/>
          <w:szCs w:val="16"/>
        </w:rPr>
        <w:endnoteRef/>
      </w:r>
      <w:r w:rsidRPr="00B759CC">
        <w:rPr>
          <w:sz w:val="16"/>
          <w:szCs w:val="16"/>
        </w:rPr>
        <w:t xml:space="preserve"> Figures</w:t>
      </w:r>
      <w:r>
        <w:rPr>
          <w:sz w:val="16"/>
          <w:szCs w:val="16"/>
        </w:rPr>
        <w:t xml:space="preserve"> exclude Antarctica.  FAO (2011).</w:t>
      </w:r>
    </w:p>
  </w:endnote>
  <w:endnote w:id="8">
    <w:p w14:paraId="05A265FE" w14:textId="62024537" w:rsidR="002B5F8D" w:rsidRPr="00B759CC" w:rsidRDefault="002B5F8D" w:rsidP="00276F95">
      <w:pPr>
        <w:pStyle w:val="Slutnotetekst"/>
        <w:rPr>
          <w:sz w:val="16"/>
          <w:szCs w:val="16"/>
        </w:rPr>
      </w:pPr>
      <w:r w:rsidRPr="00B759CC">
        <w:rPr>
          <w:rStyle w:val="Slutnotehenvisning"/>
          <w:sz w:val="16"/>
          <w:szCs w:val="16"/>
        </w:rPr>
        <w:endnoteRef/>
      </w:r>
      <w:r>
        <w:rPr>
          <w:sz w:val="16"/>
          <w:szCs w:val="16"/>
        </w:rPr>
        <w:t xml:space="preserve"> Kissinger et al. (</w:t>
      </w:r>
      <w:r w:rsidRPr="00B759CC">
        <w:rPr>
          <w:sz w:val="16"/>
          <w:szCs w:val="16"/>
        </w:rPr>
        <w:t>2012</w:t>
      </w:r>
      <w:r>
        <w:rPr>
          <w:sz w:val="16"/>
          <w:szCs w:val="16"/>
        </w:rPr>
        <w:t>)</w:t>
      </w:r>
      <w:r w:rsidRPr="00B759CC">
        <w:rPr>
          <w:sz w:val="16"/>
          <w:szCs w:val="16"/>
        </w:rPr>
        <w:t>.</w:t>
      </w:r>
    </w:p>
  </w:endnote>
  <w:endnote w:id="9">
    <w:p w14:paraId="1CB203D2" w14:textId="56AE3973" w:rsidR="002B5F8D" w:rsidRPr="00B759CC" w:rsidRDefault="002B5F8D" w:rsidP="00276F95">
      <w:pPr>
        <w:pStyle w:val="Slutnotetekst"/>
        <w:rPr>
          <w:sz w:val="16"/>
          <w:szCs w:val="16"/>
        </w:rPr>
      </w:pPr>
      <w:r w:rsidRPr="00B759CC">
        <w:rPr>
          <w:rStyle w:val="Slutnotehenvisning"/>
          <w:sz w:val="16"/>
          <w:szCs w:val="16"/>
        </w:rPr>
        <w:endnoteRef/>
      </w:r>
      <w:r w:rsidRPr="00B759CC">
        <w:rPr>
          <w:sz w:val="16"/>
          <w:szCs w:val="16"/>
        </w:rPr>
        <w:t xml:space="preserve"> Millenn</w:t>
      </w:r>
      <w:r>
        <w:rPr>
          <w:sz w:val="16"/>
          <w:szCs w:val="16"/>
        </w:rPr>
        <w:t>ium Ecosystem Assessment (</w:t>
      </w:r>
      <w:r w:rsidRPr="00B759CC">
        <w:rPr>
          <w:sz w:val="16"/>
          <w:szCs w:val="16"/>
        </w:rPr>
        <w:t>2005</w:t>
      </w:r>
      <w:r>
        <w:rPr>
          <w:sz w:val="16"/>
          <w:szCs w:val="16"/>
        </w:rPr>
        <w:t>)</w:t>
      </w:r>
      <w:r w:rsidRPr="00B759CC">
        <w:rPr>
          <w:sz w:val="16"/>
          <w:szCs w:val="16"/>
        </w:rPr>
        <w:t xml:space="preserve">. </w:t>
      </w:r>
    </w:p>
  </w:endnote>
  <w:endnote w:id="10">
    <w:p w14:paraId="422F6F34" w14:textId="48C4452E" w:rsidR="002B5F8D" w:rsidRPr="00B759CC" w:rsidRDefault="002B5F8D" w:rsidP="00276F95">
      <w:pPr>
        <w:autoSpaceDE w:val="0"/>
        <w:autoSpaceDN w:val="0"/>
        <w:adjustRightInd w:val="0"/>
        <w:spacing w:after="0" w:line="240" w:lineRule="auto"/>
        <w:ind w:left="43" w:right="-14"/>
        <w:rPr>
          <w:rFonts w:cs="Times New Roman"/>
          <w:sz w:val="16"/>
          <w:szCs w:val="16"/>
        </w:rPr>
      </w:pPr>
      <w:r w:rsidRPr="00B759CC">
        <w:rPr>
          <w:rStyle w:val="Slutnotehenvisning"/>
          <w:sz w:val="16"/>
          <w:szCs w:val="16"/>
        </w:rPr>
        <w:endnoteRef/>
      </w:r>
      <w:r w:rsidRPr="00B759CC">
        <w:rPr>
          <w:sz w:val="16"/>
          <w:szCs w:val="16"/>
        </w:rPr>
        <w:t xml:space="preserve"> </w:t>
      </w:r>
      <w:r w:rsidRPr="00B759CC">
        <w:rPr>
          <w:rFonts w:cs="Times New Roman"/>
          <w:spacing w:val="3"/>
          <w:sz w:val="16"/>
          <w:szCs w:val="16"/>
        </w:rPr>
        <w:t>O</w:t>
      </w:r>
      <w:r w:rsidRPr="00B759CC">
        <w:rPr>
          <w:rFonts w:cs="Times New Roman"/>
          <w:spacing w:val="2"/>
          <w:sz w:val="16"/>
          <w:szCs w:val="16"/>
        </w:rPr>
        <w:t>E</w:t>
      </w:r>
      <w:r w:rsidRPr="00B759CC">
        <w:rPr>
          <w:rFonts w:cs="Times New Roman"/>
          <w:spacing w:val="3"/>
          <w:sz w:val="16"/>
          <w:szCs w:val="16"/>
        </w:rPr>
        <w:t>C</w:t>
      </w:r>
      <w:r>
        <w:rPr>
          <w:rFonts w:cs="Times New Roman"/>
          <w:sz w:val="16"/>
          <w:szCs w:val="16"/>
        </w:rPr>
        <w:t>D (</w:t>
      </w:r>
      <w:r w:rsidRPr="00B759CC">
        <w:rPr>
          <w:rFonts w:cs="Times New Roman"/>
          <w:spacing w:val="4"/>
          <w:sz w:val="16"/>
          <w:szCs w:val="16"/>
        </w:rPr>
        <w:t>2</w:t>
      </w:r>
      <w:r w:rsidRPr="00B759CC">
        <w:rPr>
          <w:rFonts w:cs="Times New Roman"/>
          <w:spacing w:val="3"/>
          <w:sz w:val="16"/>
          <w:szCs w:val="16"/>
        </w:rPr>
        <w:t>0</w:t>
      </w:r>
      <w:r w:rsidRPr="00B759CC">
        <w:rPr>
          <w:rFonts w:cs="Times New Roman"/>
          <w:spacing w:val="4"/>
          <w:sz w:val="16"/>
          <w:szCs w:val="16"/>
        </w:rPr>
        <w:t>0</w:t>
      </w:r>
      <w:r w:rsidRPr="00B759CC">
        <w:rPr>
          <w:rFonts w:cs="Times New Roman"/>
          <w:spacing w:val="3"/>
          <w:sz w:val="16"/>
          <w:szCs w:val="16"/>
        </w:rPr>
        <w:t>3</w:t>
      </w:r>
      <w:r>
        <w:rPr>
          <w:rFonts w:cs="Times New Roman"/>
          <w:spacing w:val="3"/>
          <w:sz w:val="16"/>
          <w:szCs w:val="16"/>
        </w:rPr>
        <w:t>)</w:t>
      </w:r>
      <w:r w:rsidRPr="00B759CC">
        <w:rPr>
          <w:rFonts w:cs="Times New Roman"/>
          <w:spacing w:val="3"/>
          <w:sz w:val="16"/>
          <w:szCs w:val="16"/>
        </w:rPr>
        <w:t>.</w:t>
      </w:r>
    </w:p>
  </w:endnote>
  <w:endnote w:id="11">
    <w:p w14:paraId="30CA04FE" w14:textId="74F8EB6F" w:rsidR="002B5F8D" w:rsidRPr="00B759CC" w:rsidRDefault="002B5F8D" w:rsidP="00276F95">
      <w:pPr>
        <w:pStyle w:val="Slutnotetekst"/>
        <w:rPr>
          <w:sz w:val="16"/>
          <w:szCs w:val="16"/>
        </w:rPr>
      </w:pPr>
      <w:r w:rsidRPr="00B759CC">
        <w:rPr>
          <w:rStyle w:val="Slutnotehenvisning"/>
          <w:sz w:val="16"/>
          <w:szCs w:val="16"/>
        </w:rPr>
        <w:endnoteRef/>
      </w:r>
      <w:r>
        <w:rPr>
          <w:sz w:val="16"/>
          <w:szCs w:val="16"/>
        </w:rPr>
        <w:t xml:space="preserve"> Faeth and Crosson (</w:t>
      </w:r>
      <w:r w:rsidRPr="00B759CC">
        <w:rPr>
          <w:sz w:val="16"/>
          <w:szCs w:val="16"/>
        </w:rPr>
        <w:t>1994</w:t>
      </w:r>
      <w:r>
        <w:rPr>
          <w:sz w:val="16"/>
          <w:szCs w:val="16"/>
        </w:rPr>
        <w:t>)</w:t>
      </w:r>
      <w:r w:rsidRPr="00B759CC">
        <w:rPr>
          <w:sz w:val="16"/>
          <w:szCs w:val="16"/>
        </w:rPr>
        <w:t xml:space="preserve">. </w:t>
      </w:r>
    </w:p>
  </w:endnote>
  <w:endnote w:id="12">
    <w:p w14:paraId="512E5BB7" w14:textId="5859D246" w:rsidR="002B5F8D" w:rsidRPr="00B759CC" w:rsidRDefault="002B5F8D" w:rsidP="00276F95">
      <w:pPr>
        <w:autoSpaceDE w:val="0"/>
        <w:autoSpaceDN w:val="0"/>
        <w:adjustRightInd w:val="0"/>
        <w:spacing w:after="0" w:line="240" w:lineRule="auto"/>
        <w:rPr>
          <w:rFonts w:cs="AdvTT3713a231"/>
          <w:sz w:val="16"/>
          <w:szCs w:val="16"/>
        </w:rPr>
      </w:pPr>
      <w:r w:rsidRPr="00B759CC">
        <w:rPr>
          <w:rStyle w:val="Slutnotehenvisning"/>
          <w:sz w:val="16"/>
          <w:szCs w:val="16"/>
        </w:rPr>
        <w:endnoteRef/>
      </w:r>
      <w:r w:rsidRPr="00B759CC">
        <w:rPr>
          <w:sz w:val="16"/>
          <w:szCs w:val="16"/>
        </w:rPr>
        <w:t xml:space="preserve"> </w:t>
      </w:r>
      <w:r>
        <w:rPr>
          <w:rFonts w:cs="AdvTT3713a231"/>
          <w:sz w:val="16"/>
          <w:szCs w:val="16"/>
        </w:rPr>
        <w:t>Pimentel (</w:t>
      </w:r>
      <w:r w:rsidRPr="00B759CC">
        <w:rPr>
          <w:rFonts w:cs="AdvTT3713a231"/>
          <w:sz w:val="16"/>
          <w:szCs w:val="16"/>
        </w:rPr>
        <w:t>2006</w:t>
      </w:r>
      <w:r>
        <w:rPr>
          <w:rFonts w:cs="AdvTT3713a231"/>
          <w:sz w:val="16"/>
          <w:szCs w:val="16"/>
        </w:rPr>
        <w:t>)</w:t>
      </w:r>
      <w:r w:rsidRPr="00B759CC">
        <w:rPr>
          <w:rFonts w:cs="AdvTT3713a231"/>
          <w:sz w:val="16"/>
          <w:szCs w:val="16"/>
        </w:rPr>
        <w:t>.</w:t>
      </w:r>
    </w:p>
  </w:endnote>
  <w:endnote w:id="13">
    <w:p w14:paraId="3E9A29C1" w14:textId="400F5ECF" w:rsidR="002B5F8D" w:rsidRDefault="002B5F8D">
      <w:pPr>
        <w:pStyle w:val="Slutnotetekst"/>
      </w:pPr>
      <w:r>
        <w:rPr>
          <w:rStyle w:val="Slutnotehenvisning"/>
        </w:rPr>
        <w:endnoteRef/>
      </w:r>
      <w:r>
        <w:t xml:space="preserve"> Personal communication, Mike McGahuey (USAID), April 4, 2013.</w:t>
      </w:r>
    </w:p>
  </w:endnote>
  <w:endnote w:id="14">
    <w:p w14:paraId="7A815458" w14:textId="6084CD7B" w:rsidR="002B5F8D" w:rsidRPr="00F16309" w:rsidRDefault="002B5F8D" w:rsidP="00276F95">
      <w:pPr>
        <w:autoSpaceDE w:val="0"/>
        <w:autoSpaceDN w:val="0"/>
        <w:adjustRightInd w:val="0"/>
        <w:spacing w:after="0" w:line="240" w:lineRule="auto"/>
        <w:rPr>
          <w:rFonts w:cs="Arial"/>
          <w:i/>
          <w:iCs/>
          <w:sz w:val="16"/>
          <w:szCs w:val="16"/>
          <w:lang w:val="es-BO"/>
        </w:rPr>
      </w:pPr>
      <w:r w:rsidRPr="00B759CC">
        <w:rPr>
          <w:rStyle w:val="Slutnotehenvisning"/>
          <w:sz w:val="16"/>
          <w:szCs w:val="16"/>
        </w:rPr>
        <w:endnoteRef/>
      </w:r>
      <w:r w:rsidRPr="00F16309">
        <w:rPr>
          <w:sz w:val="16"/>
          <w:szCs w:val="16"/>
          <w:lang w:val="es-BO"/>
        </w:rPr>
        <w:t xml:space="preserve"> </w:t>
      </w:r>
      <w:r w:rsidRPr="00F16309">
        <w:rPr>
          <w:rFonts w:cs="Arial"/>
          <w:sz w:val="16"/>
          <w:szCs w:val="16"/>
          <w:lang w:val="es-BO"/>
        </w:rPr>
        <w:t xml:space="preserve">OECD (2008). </w:t>
      </w:r>
    </w:p>
  </w:endnote>
  <w:endnote w:id="15">
    <w:p w14:paraId="4E8D9E24" w14:textId="55EFB5C1" w:rsidR="002B5F8D" w:rsidRPr="00F16309" w:rsidRDefault="002B5F8D" w:rsidP="00276F95">
      <w:pPr>
        <w:pStyle w:val="Slutnotetekst"/>
        <w:rPr>
          <w:sz w:val="16"/>
          <w:szCs w:val="16"/>
          <w:lang w:val="es-BO"/>
        </w:rPr>
      </w:pPr>
      <w:r w:rsidRPr="00B759CC">
        <w:rPr>
          <w:rStyle w:val="Slutnotehenvisning"/>
          <w:sz w:val="16"/>
          <w:szCs w:val="16"/>
        </w:rPr>
        <w:endnoteRef/>
      </w:r>
      <w:r w:rsidRPr="00F16309">
        <w:rPr>
          <w:sz w:val="16"/>
          <w:szCs w:val="16"/>
          <w:lang w:val="es-BO"/>
        </w:rPr>
        <w:t xml:space="preserve"> </w:t>
      </w:r>
      <w:r w:rsidRPr="00F16309">
        <w:rPr>
          <w:rFonts w:cs="Arial"/>
          <w:sz w:val="16"/>
          <w:szCs w:val="16"/>
          <w:shd w:val="clear" w:color="auto" w:fill="FFFFFF"/>
          <w:lang w:val="es-BO"/>
        </w:rPr>
        <w:t>Nardo et al. (2005).</w:t>
      </w:r>
      <w:r w:rsidRPr="00F16309">
        <w:rPr>
          <w:rStyle w:val="apple-converted-space"/>
          <w:rFonts w:cs="Arial"/>
          <w:sz w:val="16"/>
          <w:szCs w:val="16"/>
          <w:shd w:val="clear" w:color="auto" w:fill="FFFFFF"/>
          <w:lang w:val="es-BO"/>
        </w:rPr>
        <w:t> </w:t>
      </w:r>
    </w:p>
  </w:endnote>
  <w:endnote w:id="16">
    <w:p w14:paraId="29F8B3C1" w14:textId="57848059" w:rsidR="002B5F8D" w:rsidRPr="00F16309" w:rsidRDefault="002B5F8D" w:rsidP="00276F95">
      <w:pPr>
        <w:spacing w:after="0" w:line="240" w:lineRule="auto"/>
        <w:rPr>
          <w:rFonts w:eastAsia="Times New Roman" w:cs="Arial"/>
          <w:sz w:val="16"/>
          <w:szCs w:val="16"/>
          <w:lang w:val="es-BO"/>
        </w:rPr>
      </w:pPr>
      <w:r w:rsidRPr="00B759CC">
        <w:rPr>
          <w:rStyle w:val="Slutnotehenvisning"/>
          <w:sz w:val="16"/>
          <w:szCs w:val="16"/>
        </w:rPr>
        <w:endnoteRef/>
      </w:r>
      <w:r w:rsidRPr="00F16309">
        <w:rPr>
          <w:sz w:val="16"/>
          <w:szCs w:val="16"/>
          <w:lang w:val="es-BO"/>
        </w:rPr>
        <w:t xml:space="preserve"> </w:t>
      </w:r>
      <w:r w:rsidRPr="00F16309">
        <w:rPr>
          <w:rFonts w:eastAsia="Times New Roman" w:cs="Arial"/>
          <w:sz w:val="16"/>
          <w:szCs w:val="16"/>
          <w:lang w:val="es-BO"/>
        </w:rPr>
        <w:t xml:space="preserve">Nardo et al. (2005). </w:t>
      </w:r>
    </w:p>
  </w:endnote>
  <w:endnote w:id="17">
    <w:p w14:paraId="4514C370" w14:textId="4C3F43BA" w:rsidR="002B5F8D" w:rsidRPr="00B20FA3" w:rsidRDefault="002B5F8D" w:rsidP="00276F95">
      <w:pPr>
        <w:spacing w:after="0" w:line="240" w:lineRule="auto"/>
        <w:rPr>
          <w:rFonts w:eastAsia="Times New Roman" w:cs="Arial"/>
          <w:color w:val="222222"/>
          <w:sz w:val="20"/>
          <w:szCs w:val="20"/>
        </w:rPr>
      </w:pPr>
      <w:r w:rsidRPr="00B759CC">
        <w:rPr>
          <w:rStyle w:val="Slutnotehenvisning"/>
          <w:sz w:val="16"/>
          <w:szCs w:val="16"/>
        </w:rPr>
        <w:endnoteRef/>
      </w:r>
      <w:r w:rsidRPr="00B759CC">
        <w:rPr>
          <w:sz w:val="16"/>
          <w:szCs w:val="16"/>
        </w:rPr>
        <w:t xml:space="preserve"> </w:t>
      </w:r>
      <w:r>
        <w:rPr>
          <w:rFonts w:eastAsia="Times New Roman" w:cs="Arial"/>
          <w:sz w:val="16"/>
          <w:szCs w:val="16"/>
        </w:rPr>
        <w:t>Nardo et al. (</w:t>
      </w:r>
      <w:r w:rsidRPr="00B759CC">
        <w:rPr>
          <w:rFonts w:eastAsia="Times New Roman" w:cs="Arial"/>
          <w:sz w:val="16"/>
          <w:szCs w:val="16"/>
        </w:rPr>
        <w:t>2005</w:t>
      </w:r>
      <w:r>
        <w:rPr>
          <w:rFonts w:eastAsia="Times New Roman" w:cs="Arial"/>
          <w:sz w:val="16"/>
          <w:szCs w:val="16"/>
        </w:rPr>
        <w:t>)</w:t>
      </w:r>
      <w:r w:rsidRPr="00B759CC">
        <w:rPr>
          <w:rFonts w:eastAsia="Times New Roman" w:cs="Arial"/>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dvTT3713a231">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T3713a231+2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577085"/>
      <w:docPartObj>
        <w:docPartGallery w:val="Page Numbers (Bottom of Page)"/>
        <w:docPartUnique/>
      </w:docPartObj>
    </w:sdtPr>
    <w:sdtEndPr>
      <w:rPr>
        <w:noProof/>
      </w:rPr>
    </w:sdtEndPr>
    <w:sdtContent>
      <w:p w14:paraId="4739E5F0" w14:textId="3E786DAF" w:rsidR="002B5F8D" w:rsidRDefault="002B5F8D">
        <w:pPr>
          <w:pStyle w:val="Sidefod"/>
          <w:jc w:val="center"/>
        </w:pPr>
        <w:r>
          <w:fldChar w:fldCharType="begin"/>
        </w:r>
        <w:r>
          <w:instrText xml:space="preserve"> PAGE   \* MERGEFORMAT </w:instrText>
        </w:r>
        <w:r>
          <w:fldChar w:fldCharType="separate"/>
        </w:r>
        <w:r w:rsidR="00F53EE6">
          <w:rPr>
            <w:noProof/>
          </w:rPr>
          <w:t>1</w:t>
        </w:r>
        <w:r>
          <w:rPr>
            <w:noProof/>
          </w:rPr>
          <w:fldChar w:fldCharType="end"/>
        </w:r>
      </w:p>
    </w:sdtContent>
  </w:sdt>
  <w:p w14:paraId="6F3DB1C6" w14:textId="700692C8" w:rsidR="002B5F8D" w:rsidRDefault="002B5F8D" w:rsidP="00871047">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197783"/>
      <w:docPartObj>
        <w:docPartGallery w:val="Page Numbers (Bottom of Page)"/>
        <w:docPartUnique/>
      </w:docPartObj>
    </w:sdtPr>
    <w:sdtEndPr>
      <w:rPr>
        <w:noProof/>
      </w:rPr>
    </w:sdtEndPr>
    <w:sdtContent>
      <w:p w14:paraId="05760239" w14:textId="3C60CD75" w:rsidR="002B5F8D" w:rsidRDefault="002B5F8D">
        <w:pPr>
          <w:pStyle w:val="Sidefod"/>
          <w:jc w:val="center"/>
        </w:pPr>
        <w:r>
          <w:t>5</w:t>
        </w:r>
      </w:p>
    </w:sdtContent>
  </w:sdt>
  <w:p w14:paraId="4C6623BE" w14:textId="77777777" w:rsidR="002B5F8D" w:rsidRDefault="002B5F8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28008" w14:textId="77777777" w:rsidR="006C0147" w:rsidRDefault="006C0147" w:rsidP="006E7A40">
      <w:pPr>
        <w:spacing w:after="0" w:line="240" w:lineRule="auto"/>
      </w:pPr>
      <w:r>
        <w:separator/>
      </w:r>
    </w:p>
  </w:footnote>
  <w:footnote w:type="continuationSeparator" w:id="0">
    <w:p w14:paraId="4B3BCB92" w14:textId="77777777" w:rsidR="006C0147" w:rsidRDefault="006C0147" w:rsidP="006E7A40">
      <w:pPr>
        <w:spacing w:after="0" w:line="240" w:lineRule="auto"/>
      </w:pPr>
      <w:r>
        <w:continuationSeparator/>
      </w:r>
    </w:p>
  </w:footnote>
  <w:footnote w:type="continuationNotice" w:id="1">
    <w:p w14:paraId="4B26A3C7" w14:textId="77777777" w:rsidR="006C0147" w:rsidRDefault="006C0147">
      <w:pPr>
        <w:spacing w:after="0" w:line="240" w:lineRule="auto"/>
      </w:pPr>
    </w:p>
  </w:footnote>
  <w:footnote w:id="2">
    <w:p w14:paraId="4A158FB8" w14:textId="77777777" w:rsidR="00147C9D" w:rsidRPr="00212883" w:rsidRDefault="00147C9D" w:rsidP="00147C9D">
      <w:pPr>
        <w:pStyle w:val="Fodnotetekst"/>
        <w:spacing w:after="60"/>
        <w:rPr>
          <w:sz w:val="16"/>
          <w:szCs w:val="16"/>
        </w:rPr>
      </w:pPr>
      <w:r w:rsidRPr="00212883">
        <w:rPr>
          <w:rStyle w:val="Fodnotehenvisning"/>
          <w:sz w:val="16"/>
          <w:szCs w:val="16"/>
        </w:rPr>
        <w:footnoteRef/>
      </w:r>
      <w:r w:rsidRPr="00212883">
        <w:rPr>
          <w:sz w:val="16"/>
          <w:szCs w:val="16"/>
        </w:rPr>
        <w:t xml:space="preserve"> The unit of measure for the pesticides policy indicator is a 22 point scale that measures the in-country status of 11 of the most toxic pesticides according to the Stockholm Convention. A country is assigned 2 points if the toxic pesticide is banned, 1 point if it is restricted. The target score is 22.</w:t>
      </w:r>
    </w:p>
    <w:p w14:paraId="38375BCA" w14:textId="77777777" w:rsidR="00147C9D" w:rsidRPr="00212883" w:rsidRDefault="00147C9D" w:rsidP="00147C9D">
      <w:pPr>
        <w:pStyle w:val="Fodnotetekst"/>
        <w:rPr>
          <w:sz w:val="16"/>
          <w:szCs w:val="16"/>
        </w:rPr>
      </w:pPr>
      <w:r w:rsidRPr="00212883">
        <w:rPr>
          <w:sz w:val="16"/>
          <w:szCs w:val="16"/>
        </w:rPr>
        <w:t>* Denotes indicators that would require new data collection and/or significant effort to develop</w:t>
      </w:r>
    </w:p>
  </w:footnote>
  <w:footnote w:id="3">
    <w:p w14:paraId="6DB96B70" w14:textId="77777777" w:rsidR="002B5F8D" w:rsidRPr="00212883" w:rsidRDefault="002B5F8D" w:rsidP="000B0836">
      <w:pPr>
        <w:pStyle w:val="Fodnotetekst"/>
        <w:spacing w:after="60"/>
        <w:rPr>
          <w:sz w:val="16"/>
          <w:szCs w:val="16"/>
        </w:rPr>
      </w:pPr>
      <w:r w:rsidRPr="00212883">
        <w:rPr>
          <w:rStyle w:val="Fodnotehenvisning"/>
          <w:sz w:val="16"/>
          <w:szCs w:val="16"/>
        </w:rPr>
        <w:footnoteRef/>
      </w:r>
      <w:r w:rsidRPr="00212883">
        <w:rPr>
          <w:sz w:val="16"/>
          <w:szCs w:val="16"/>
        </w:rPr>
        <w:t xml:space="preserve"> The unit of measure for the pesticides policy indicator is a 22 point scale that measures the in-country status of 11 of the most toxic pesticides according to the Stockholm Convention. A country is assigned 2 points if the toxic pesticide is banned, 1 point if it is restricted. The target score is 22.</w:t>
      </w:r>
    </w:p>
    <w:p w14:paraId="7D5BA6EA" w14:textId="77777777" w:rsidR="002B5F8D" w:rsidRPr="00212883" w:rsidRDefault="002B5F8D" w:rsidP="000B0836">
      <w:pPr>
        <w:pStyle w:val="Fodnotetekst"/>
        <w:rPr>
          <w:sz w:val="16"/>
          <w:szCs w:val="16"/>
        </w:rPr>
      </w:pPr>
      <w:r w:rsidRPr="00212883">
        <w:rPr>
          <w:sz w:val="16"/>
          <w:szCs w:val="16"/>
        </w:rPr>
        <w:t>* Denotes indicators that would require new data collection and/or significant effort to develop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3768"/>
    <w:multiLevelType w:val="hybridMultilevel"/>
    <w:tmpl w:val="911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00916"/>
    <w:multiLevelType w:val="hybridMultilevel"/>
    <w:tmpl w:val="814EF06C"/>
    <w:lvl w:ilvl="0" w:tplc="0592FFB0">
      <w:start w:val="1"/>
      <w:numFmt w:val="upperRoman"/>
      <w:lvlText w:val="%1."/>
      <w:lvlJc w:val="left"/>
      <w:pPr>
        <w:ind w:left="720" w:hanging="720"/>
      </w:pPr>
      <w:rPr>
        <w:rFonts w:hint="default"/>
        <w:color w:val="00009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4B5B06"/>
    <w:multiLevelType w:val="hybridMultilevel"/>
    <w:tmpl w:val="777EC1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432DF"/>
    <w:multiLevelType w:val="hybridMultilevel"/>
    <w:tmpl w:val="A07A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E0934"/>
    <w:multiLevelType w:val="hybridMultilevel"/>
    <w:tmpl w:val="8B9A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2F5047"/>
    <w:multiLevelType w:val="hybridMultilevel"/>
    <w:tmpl w:val="D66C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B65C8E"/>
    <w:multiLevelType w:val="hybridMultilevel"/>
    <w:tmpl w:val="D552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F74874"/>
    <w:multiLevelType w:val="hybridMultilevel"/>
    <w:tmpl w:val="A5ECE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BC50EE"/>
    <w:multiLevelType w:val="hybridMultilevel"/>
    <w:tmpl w:val="EC424A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49741D"/>
    <w:multiLevelType w:val="hybridMultilevel"/>
    <w:tmpl w:val="BB1E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1A4667"/>
    <w:multiLevelType w:val="hybridMultilevel"/>
    <w:tmpl w:val="4D3A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E44EA7"/>
    <w:multiLevelType w:val="hybridMultilevel"/>
    <w:tmpl w:val="6582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A6730C"/>
    <w:multiLevelType w:val="hybridMultilevel"/>
    <w:tmpl w:val="406C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514CE2"/>
    <w:multiLevelType w:val="hybridMultilevel"/>
    <w:tmpl w:val="9E0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E71075"/>
    <w:multiLevelType w:val="hybridMultilevel"/>
    <w:tmpl w:val="3790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
  </w:num>
  <w:num w:numId="5">
    <w:abstractNumId w:val="4"/>
  </w:num>
  <w:num w:numId="6">
    <w:abstractNumId w:val="7"/>
  </w:num>
  <w:num w:numId="7">
    <w:abstractNumId w:val="6"/>
  </w:num>
  <w:num w:numId="8">
    <w:abstractNumId w:val="13"/>
  </w:num>
  <w:num w:numId="9">
    <w:abstractNumId w:val="10"/>
  </w:num>
  <w:num w:numId="10">
    <w:abstractNumId w:val="9"/>
  </w:num>
  <w:num w:numId="11">
    <w:abstractNumId w:val="3"/>
  </w:num>
  <w:num w:numId="12">
    <w:abstractNumId w:val="5"/>
  </w:num>
  <w:num w:numId="13">
    <w:abstractNumId w:val="0"/>
  </w:num>
  <w:num w:numId="14">
    <w:abstractNumId w:val="2"/>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AAC"/>
    <w:rsid w:val="00002B05"/>
    <w:rsid w:val="00003E2F"/>
    <w:rsid w:val="000047AE"/>
    <w:rsid w:val="00014AD0"/>
    <w:rsid w:val="00030713"/>
    <w:rsid w:val="00030800"/>
    <w:rsid w:val="000378FA"/>
    <w:rsid w:val="000409CC"/>
    <w:rsid w:val="00042BB5"/>
    <w:rsid w:val="00054F32"/>
    <w:rsid w:val="00056BD9"/>
    <w:rsid w:val="00060CF5"/>
    <w:rsid w:val="00061A66"/>
    <w:rsid w:val="000622C3"/>
    <w:rsid w:val="00062F37"/>
    <w:rsid w:val="00064042"/>
    <w:rsid w:val="00067A40"/>
    <w:rsid w:val="00071219"/>
    <w:rsid w:val="00072D16"/>
    <w:rsid w:val="00095A93"/>
    <w:rsid w:val="00096466"/>
    <w:rsid w:val="00096A1D"/>
    <w:rsid w:val="00097CD6"/>
    <w:rsid w:val="000A05F3"/>
    <w:rsid w:val="000A0D1D"/>
    <w:rsid w:val="000A5FE8"/>
    <w:rsid w:val="000B0836"/>
    <w:rsid w:val="000C28EC"/>
    <w:rsid w:val="000C4FD6"/>
    <w:rsid w:val="000C6331"/>
    <w:rsid w:val="000C6A03"/>
    <w:rsid w:val="000C7BBE"/>
    <w:rsid w:val="000D6158"/>
    <w:rsid w:val="000E23BD"/>
    <w:rsid w:val="000E41B1"/>
    <w:rsid w:val="000E57D8"/>
    <w:rsid w:val="000E5DEA"/>
    <w:rsid w:val="000F09A6"/>
    <w:rsid w:val="000F1B53"/>
    <w:rsid w:val="000F21A7"/>
    <w:rsid w:val="000F2448"/>
    <w:rsid w:val="000F308F"/>
    <w:rsid w:val="000F43AD"/>
    <w:rsid w:val="000F4646"/>
    <w:rsid w:val="000F5170"/>
    <w:rsid w:val="00104136"/>
    <w:rsid w:val="00104432"/>
    <w:rsid w:val="001058AA"/>
    <w:rsid w:val="00106635"/>
    <w:rsid w:val="00106DBF"/>
    <w:rsid w:val="00121818"/>
    <w:rsid w:val="0013250F"/>
    <w:rsid w:val="001369D0"/>
    <w:rsid w:val="001405C5"/>
    <w:rsid w:val="00142174"/>
    <w:rsid w:val="0014391C"/>
    <w:rsid w:val="00144D7F"/>
    <w:rsid w:val="00145552"/>
    <w:rsid w:val="00147C9D"/>
    <w:rsid w:val="00151675"/>
    <w:rsid w:val="001539A7"/>
    <w:rsid w:val="001557E1"/>
    <w:rsid w:val="00156626"/>
    <w:rsid w:val="0016168D"/>
    <w:rsid w:val="00162554"/>
    <w:rsid w:val="00165B59"/>
    <w:rsid w:val="00166806"/>
    <w:rsid w:val="001748DC"/>
    <w:rsid w:val="00177133"/>
    <w:rsid w:val="00181708"/>
    <w:rsid w:val="00181913"/>
    <w:rsid w:val="001939F4"/>
    <w:rsid w:val="00194E59"/>
    <w:rsid w:val="00195661"/>
    <w:rsid w:val="001957A0"/>
    <w:rsid w:val="001A1E09"/>
    <w:rsid w:val="001A2700"/>
    <w:rsid w:val="001A52A4"/>
    <w:rsid w:val="001B0850"/>
    <w:rsid w:val="001B20CF"/>
    <w:rsid w:val="001B3647"/>
    <w:rsid w:val="001B4C9C"/>
    <w:rsid w:val="001B4E8E"/>
    <w:rsid w:val="001C4AE0"/>
    <w:rsid w:val="001C69C3"/>
    <w:rsid w:val="001E4F19"/>
    <w:rsid w:val="001F157B"/>
    <w:rsid w:val="001F4187"/>
    <w:rsid w:val="001F7D2B"/>
    <w:rsid w:val="002046EE"/>
    <w:rsid w:val="00206177"/>
    <w:rsid w:val="002105E2"/>
    <w:rsid w:val="00211004"/>
    <w:rsid w:val="00212883"/>
    <w:rsid w:val="00213A4B"/>
    <w:rsid w:val="002153B7"/>
    <w:rsid w:val="002205B7"/>
    <w:rsid w:val="00221974"/>
    <w:rsid w:val="00232AEB"/>
    <w:rsid w:val="002337AE"/>
    <w:rsid w:val="0023397E"/>
    <w:rsid w:val="00235D0E"/>
    <w:rsid w:val="00237ACC"/>
    <w:rsid w:val="00246A53"/>
    <w:rsid w:val="00246DFC"/>
    <w:rsid w:val="0025110C"/>
    <w:rsid w:val="00251535"/>
    <w:rsid w:val="002523B1"/>
    <w:rsid w:val="00257ED9"/>
    <w:rsid w:val="00263C36"/>
    <w:rsid w:val="00263EC2"/>
    <w:rsid w:val="0026591D"/>
    <w:rsid w:val="00265AFD"/>
    <w:rsid w:val="00266F73"/>
    <w:rsid w:val="00276F95"/>
    <w:rsid w:val="002917C0"/>
    <w:rsid w:val="00294349"/>
    <w:rsid w:val="00295CE1"/>
    <w:rsid w:val="00297771"/>
    <w:rsid w:val="002A4B9B"/>
    <w:rsid w:val="002A5607"/>
    <w:rsid w:val="002A7EC7"/>
    <w:rsid w:val="002B1CF1"/>
    <w:rsid w:val="002B31EE"/>
    <w:rsid w:val="002B4174"/>
    <w:rsid w:val="002B5F8D"/>
    <w:rsid w:val="002C166D"/>
    <w:rsid w:val="002C22CD"/>
    <w:rsid w:val="002C2833"/>
    <w:rsid w:val="002C4F66"/>
    <w:rsid w:val="002C6115"/>
    <w:rsid w:val="002C6A3C"/>
    <w:rsid w:val="002C7B6F"/>
    <w:rsid w:val="002D26CE"/>
    <w:rsid w:val="002D4F72"/>
    <w:rsid w:val="002D538C"/>
    <w:rsid w:val="002F03A7"/>
    <w:rsid w:val="002F082D"/>
    <w:rsid w:val="002F15AB"/>
    <w:rsid w:val="002F193F"/>
    <w:rsid w:val="002F7CB8"/>
    <w:rsid w:val="0030426A"/>
    <w:rsid w:val="00313BA4"/>
    <w:rsid w:val="003140B0"/>
    <w:rsid w:val="0031677F"/>
    <w:rsid w:val="00321D09"/>
    <w:rsid w:val="0032462C"/>
    <w:rsid w:val="00325311"/>
    <w:rsid w:val="00326626"/>
    <w:rsid w:val="00331F22"/>
    <w:rsid w:val="00352E9E"/>
    <w:rsid w:val="003636AF"/>
    <w:rsid w:val="00367AB7"/>
    <w:rsid w:val="003724DB"/>
    <w:rsid w:val="00375E4A"/>
    <w:rsid w:val="0037625D"/>
    <w:rsid w:val="00377BB8"/>
    <w:rsid w:val="00383B45"/>
    <w:rsid w:val="00387158"/>
    <w:rsid w:val="00387529"/>
    <w:rsid w:val="003906EC"/>
    <w:rsid w:val="00391BC3"/>
    <w:rsid w:val="0039316F"/>
    <w:rsid w:val="00395D9B"/>
    <w:rsid w:val="0039736C"/>
    <w:rsid w:val="00397A54"/>
    <w:rsid w:val="00397F8C"/>
    <w:rsid w:val="003A609C"/>
    <w:rsid w:val="003B32B4"/>
    <w:rsid w:val="003B3409"/>
    <w:rsid w:val="003B6855"/>
    <w:rsid w:val="003C06DA"/>
    <w:rsid w:val="003C1389"/>
    <w:rsid w:val="003C28A8"/>
    <w:rsid w:val="003C5E4A"/>
    <w:rsid w:val="003D2B41"/>
    <w:rsid w:val="003E0653"/>
    <w:rsid w:val="003E6645"/>
    <w:rsid w:val="003F417B"/>
    <w:rsid w:val="003F5535"/>
    <w:rsid w:val="003F5D1F"/>
    <w:rsid w:val="004009B4"/>
    <w:rsid w:val="0040169E"/>
    <w:rsid w:val="004028E7"/>
    <w:rsid w:val="0040326D"/>
    <w:rsid w:val="00404638"/>
    <w:rsid w:val="00405FD2"/>
    <w:rsid w:val="00406BA7"/>
    <w:rsid w:val="00412038"/>
    <w:rsid w:val="004228EA"/>
    <w:rsid w:val="004236D2"/>
    <w:rsid w:val="00427A1E"/>
    <w:rsid w:val="00431728"/>
    <w:rsid w:val="00431D4C"/>
    <w:rsid w:val="00433D9D"/>
    <w:rsid w:val="00434907"/>
    <w:rsid w:val="004400D9"/>
    <w:rsid w:val="00452406"/>
    <w:rsid w:val="00456181"/>
    <w:rsid w:val="004561F6"/>
    <w:rsid w:val="00457D59"/>
    <w:rsid w:val="0046307A"/>
    <w:rsid w:val="004645BB"/>
    <w:rsid w:val="00464F41"/>
    <w:rsid w:val="00466599"/>
    <w:rsid w:val="004679C1"/>
    <w:rsid w:val="00470478"/>
    <w:rsid w:val="00471FC6"/>
    <w:rsid w:val="00472177"/>
    <w:rsid w:val="00472B20"/>
    <w:rsid w:val="00473826"/>
    <w:rsid w:val="00474AAF"/>
    <w:rsid w:val="0047534E"/>
    <w:rsid w:val="0047641D"/>
    <w:rsid w:val="004910B6"/>
    <w:rsid w:val="00496834"/>
    <w:rsid w:val="004A7961"/>
    <w:rsid w:val="004B179A"/>
    <w:rsid w:val="004B5600"/>
    <w:rsid w:val="004C44DB"/>
    <w:rsid w:val="004C4BD4"/>
    <w:rsid w:val="004C75B2"/>
    <w:rsid w:val="004D0235"/>
    <w:rsid w:val="004D4D0E"/>
    <w:rsid w:val="004E01AB"/>
    <w:rsid w:val="004E0383"/>
    <w:rsid w:val="004E14DC"/>
    <w:rsid w:val="004E287F"/>
    <w:rsid w:val="004E3873"/>
    <w:rsid w:val="004E4160"/>
    <w:rsid w:val="004E52EB"/>
    <w:rsid w:val="004F0DCB"/>
    <w:rsid w:val="00505229"/>
    <w:rsid w:val="0051011F"/>
    <w:rsid w:val="00513509"/>
    <w:rsid w:val="005150AE"/>
    <w:rsid w:val="00527239"/>
    <w:rsid w:val="00530C7C"/>
    <w:rsid w:val="00532BED"/>
    <w:rsid w:val="00535FB0"/>
    <w:rsid w:val="00542763"/>
    <w:rsid w:val="005445D9"/>
    <w:rsid w:val="005474AE"/>
    <w:rsid w:val="0055622F"/>
    <w:rsid w:val="0055675D"/>
    <w:rsid w:val="00557400"/>
    <w:rsid w:val="00572490"/>
    <w:rsid w:val="005739E1"/>
    <w:rsid w:val="00574CEB"/>
    <w:rsid w:val="0057789C"/>
    <w:rsid w:val="00586463"/>
    <w:rsid w:val="00590628"/>
    <w:rsid w:val="00591B3B"/>
    <w:rsid w:val="00593923"/>
    <w:rsid w:val="00593AD8"/>
    <w:rsid w:val="00593B5B"/>
    <w:rsid w:val="00594430"/>
    <w:rsid w:val="00595D61"/>
    <w:rsid w:val="0059603B"/>
    <w:rsid w:val="005A1477"/>
    <w:rsid w:val="005A32F5"/>
    <w:rsid w:val="005A4268"/>
    <w:rsid w:val="005B26A9"/>
    <w:rsid w:val="005B430D"/>
    <w:rsid w:val="005B53B9"/>
    <w:rsid w:val="005C0F89"/>
    <w:rsid w:val="005C2A0B"/>
    <w:rsid w:val="005C60CD"/>
    <w:rsid w:val="005D6442"/>
    <w:rsid w:val="005D66D2"/>
    <w:rsid w:val="005E5E45"/>
    <w:rsid w:val="00600272"/>
    <w:rsid w:val="00605489"/>
    <w:rsid w:val="00606D3A"/>
    <w:rsid w:val="00607DD9"/>
    <w:rsid w:val="006168CB"/>
    <w:rsid w:val="006308EF"/>
    <w:rsid w:val="00636EBD"/>
    <w:rsid w:val="00640A8E"/>
    <w:rsid w:val="00646388"/>
    <w:rsid w:val="00652278"/>
    <w:rsid w:val="006543F4"/>
    <w:rsid w:val="006574BB"/>
    <w:rsid w:val="0066124C"/>
    <w:rsid w:val="006637E6"/>
    <w:rsid w:val="00664CA8"/>
    <w:rsid w:val="0066551E"/>
    <w:rsid w:val="006718E9"/>
    <w:rsid w:val="00673306"/>
    <w:rsid w:val="00676E9B"/>
    <w:rsid w:val="00684E96"/>
    <w:rsid w:val="00685F18"/>
    <w:rsid w:val="0068792C"/>
    <w:rsid w:val="006934E7"/>
    <w:rsid w:val="00693BF4"/>
    <w:rsid w:val="00696A18"/>
    <w:rsid w:val="006A1F8A"/>
    <w:rsid w:val="006B4135"/>
    <w:rsid w:val="006B7B1C"/>
    <w:rsid w:val="006C0147"/>
    <w:rsid w:val="006C04DB"/>
    <w:rsid w:val="006C0C8C"/>
    <w:rsid w:val="006C487E"/>
    <w:rsid w:val="006C795C"/>
    <w:rsid w:val="006D0134"/>
    <w:rsid w:val="006D771F"/>
    <w:rsid w:val="006E0C9F"/>
    <w:rsid w:val="006E740D"/>
    <w:rsid w:val="006E7A40"/>
    <w:rsid w:val="006F16B9"/>
    <w:rsid w:val="006F1CA4"/>
    <w:rsid w:val="006F6463"/>
    <w:rsid w:val="006F6EE5"/>
    <w:rsid w:val="007046A4"/>
    <w:rsid w:val="00710D0F"/>
    <w:rsid w:val="007143EA"/>
    <w:rsid w:val="00717710"/>
    <w:rsid w:val="0072546D"/>
    <w:rsid w:val="00725F55"/>
    <w:rsid w:val="00727050"/>
    <w:rsid w:val="00732623"/>
    <w:rsid w:val="007370BB"/>
    <w:rsid w:val="00741C90"/>
    <w:rsid w:val="00741ED2"/>
    <w:rsid w:val="00743F64"/>
    <w:rsid w:val="00750753"/>
    <w:rsid w:val="00751B4A"/>
    <w:rsid w:val="007532BD"/>
    <w:rsid w:val="0075538B"/>
    <w:rsid w:val="007553F4"/>
    <w:rsid w:val="00757D84"/>
    <w:rsid w:val="00764165"/>
    <w:rsid w:val="007646A0"/>
    <w:rsid w:val="0077176A"/>
    <w:rsid w:val="00777220"/>
    <w:rsid w:val="00781D19"/>
    <w:rsid w:val="00784CD5"/>
    <w:rsid w:val="00785677"/>
    <w:rsid w:val="007861A3"/>
    <w:rsid w:val="00792E57"/>
    <w:rsid w:val="007947C8"/>
    <w:rsid w:val="00797980"/>
    <w:rsid w:val="007A4514"/>
    <w:rsid w:val="007A7AF6"/>
    <w:rsid w:val="007B0941"/>
    <w:rsid w:val="007B2B1E"/>
    <w:rsid w:val="007B2DFD"/>
    <w:rsid w:val="007B42DB"/>
    <w:rsid w:val="007B50C4"/>
    <w:rsid w:val="007B7C94"/>
    <w:rsid w:val="007C1D12"/>
    <w:rsid w:val="007C23F5"/>
    <w:rsid w:val="007C2BA8"/>
    <w:rsid w:val="007C4BCF"/>
    <w:rsid w:val="007C7A8D"/>
    <w:rsid w:val="007D38A1"/>
    <w:rsid w:val="007E040E"/>
    <w:rsid w:val="007E09EE"/>
    <w:rsid w:val="007E2A25"/>
    <w:rsid w:val="007E667B"/>
    <w:rsid w:val="007E7491"/>
    <w:rsid w:val="007F709B"/>
    <w:rsid w:val="008136D7"/>
    <w:rsid w:val="00824136"/>
    <w:rsid w:val="0082581C"/>
    <w:rsid w:val="0082679E"/>
    <w:rsid w:val="00835209"/>
    <w:rsid w:val="0084021B"/>
    <w:rsid w:val="00840404"/>
    <w:rsid w:val="00844C66"/>
    <w:rsid w:val="0086170A"/>
    <w:rsid w:val="008706E1"/>
    <w:rsid w:val="00871047"/>
    <w:rsid w:val="0087111F"/>
    <w:rsid w:val="00882EEE"/>
    <w:rsid w:val="00886AFD"/>
    <w:rsid w:val="00890365"/>
    <w:rsid w:val="008909B4"/>
    <w:rsid w:val="00896A11"/>
    <w:rsid w:val="008A159D"/>
    <w:rsid w:val="008A415C"/>
    <w:rsid w:val="008B583A"/>
    <w:rsid w:val="008D4182"/>
    <w:rsid w:val="008E0221"/>
    <w:rsid w:val="008E053E"/>
    <w:rsid w:val="008E3283"/>
    <w:rsid w:val="008E5C0F"/>
    <w:rsid w:val="008E7E3E"/>
    <w:rsid w:val="008F0E4A"/>
    <w:rsid w:val="008F2F77"/>
    <w:rsid w:val="008F4538"/>
    <w:rsid w:val="008F6BB3"/>
    <w:rsid w:val="008F7152"/>
    <w:rsid w:val="008F7283"/>
    <w:rsid w:val="009017FB"/>
    <w:rsid w:val="009018E3"/>
    <w:rsid w:val="00902257"/>
    <w:rsid w:val="009037DA"/>
    <w:rsid w:val="00903CEF"/>
    <w:rsid w:val="0090491D"/>
    <w:rsid w:val="00906EDD"/>
    <w:rsid w:val="00907204"/>
    <w:rsid w:val="0091128D"/>
    <w:rsid w:val="00913438"/>
    <w:rsid w:val="00922015"/>
    <w:rsid w:val="00922E22"/>
    <w:rsid w:val="0092503B"/>
    <w:rsid w:val="00926719"/>
    <w:rsid w:val="00926848"/>
    <w:rsid w:val="00926900"/>
    <w:rsid w:val="00930328"/>
    <w:rsid w:val="00930D72"/>
    <w:rsid w:val="00950E98"/>
    <w:rsid w:val="00955501"/>
    <w:rsid w:val="00956EE2"/>
    <w:rsid w:val="00957A0F"/>
    <w:rsid w:val="00963144"/>
    <w:rsid w:val="0096401D"/>
    <w:rsid w:val="009701FE"/>
    <w:rsid w:val="00971BD9"/>
    <w:rsid w:val="0098269D"/>
    <w:rsid w:val="00982D3B"/>
    <w:rsid w:val="00990215"/>
    <w:rsid w:val="00994B9C"/>
    <w:rsid w:val="00995DB2"/>
    <w:rsid w:val="00995EE1"/>
    <w:rsid w:val="009A18BD"/>
    <w:rsid w:val="009A6854"/>
    <w:rsid w:val="009A6E2A"/>
    <w:rsid w:val="009B031A"/>
    <w:rsid w:val="009B06F4"/>
    <w:rsid w:val="009B0773"/>
    <w:rsid w:val="009B0C7E"/>
    <w:rsid w:val="009B2385"/>
    <w:rsid w:val="009B7A8E"/>
    <w:rsid w:val="009C4434"/>
    <w:rsid w:val="009C59B2"/>
    <w:rsid w:val="009C6199"/>
    <w:rsid w:val="009D6803"/>
    <w:rsid w:val="009E06B2"/>
    <w:rsid w:val="009E0A39"/>
    <w:rsid w:val="009F0B0C"/>
    <w:rsid w:val="00A06B4B"/>
    <w:rsid w:val="00A10575"/>
    <w:rsid w:val="00A117D7"/>
    <w:rsid w:val="00A11D9E"/>
    <w:rsid w:val="00A162A1"/>
    <w:rsid w:val="00A21E41"/>
    <w:rsid w:val="00A220A3"/>
    <w:rsid w:val="00A24DCA"/>
    <w:rsid w:val="00A2575B"/>
    <w:rsid w:val="00A278B9"/>
    <w:rsid w:val="00A335C4"/>
    <w:rsid w:val="00A45998"/>
    <w:rsid w:val="00A528B5"/>
    <w:rsid w:val="00A530AA"/>
    <w:rsid w:val="00A53BAB"/>
    <w:rsid w:val="00A55540"/>
    <w:rsid w:val="00A56111"/>
    <w:rsid w:val="00A57C5A"/>
    <w:rsid w:val="00A72CB5"/>
    <w:rsid w:val="00A76723"/>
    <w:rsid w:val="00A77495"/>
    <w:rsid w:val="00A8240C"/>
    <w:rsid w:val="00A8399B"/>
    <w:rsid w:val="00A950C9"/>
    <w:rsid w:val="00AA30A6"/>
    <w:rsid w:val="00AA4B95"/>
    <w:rsid w:val="00AA52B8"/>
    <w:rsid w:val="00AA5A5B"/>
    <w:rsid w:val="00AA7B82"/>
    <w:rsid w:val="00AA7EF0"/>
    <w:rsid w:val="00AB3ED9"/>
    <w:rsid w:val="00AC05E8"/>
    <w:rsid w:val="00AD1873"/>
    <w:rsid w:val="00AD26AB"/>
    <w:rsid w:val="00AD44BD"/>
    <w:rsid w:val="00AD468A"/>
    <w:rsid w:val="00AD56A5"/>
    <w:rsid w:val="00AE0FDF"/>
    <w:rsid w:val="00AE457F"/>
    <w:rsid w:val="00AE49D5"/>
    <w:rsid w:val="00AE5750"/>
    <w:rsid w:val="00AF0F63"/>
    <w:rsid w:val="00AF4448"/>
    <w:rsid w:val="00B04D05"/>
    <w:rsid w:val="00B0633A"/>
    <w:rsid w:val="00B12E05"/>
    <w:rsid w:val="00B12E68"/>
    <w:rsid w:val="00B15D0E"/>
    <w:rsid w:val="00B20FA3"/>
    <w:rsid w:val="00B22569"/>
    <w:rsid w:val="00B26701"/>
    <w:rsid w:val="00B27AC0"/>
    <w:rsid w:val="00B3312D"/>
    <w:rsid w:val="00B373A4"/>
    <w:rsid w:val="00B37B08"/>
    <w:rsid w:val="00B42058"/>
    <w:rsid w:val="00B42345"/>
    <w:rsid w:val="00B45025"/>
    <w:rsid w:val="00B515A7"/>
    <w:rsid w:val="00B5520B"/>
    <w:rsid w:val="00B55E4A"/>
    <w:rsid w:val="00B56163"/>
    <w:rsid w:val="00B569F5"/>
    <w:rsid w:val="00B624E1"/>
    <w:rsid w:val="00B62C7C"/>
    <w:rsid w:val="00B70B62"/>
    <w:rsid w:val="00B71B2B"/>
    <w:rsid w:val="00B759CC"/>
    <w:rsid w:val="00B8787D"/>
    <w:rsid w:val="00B90779"/>
    <w:rsid w:val="00B94852"/>
    <w:rsid w:val="00B96D4B"/>
    <w:rsid w:val="00B96F2F"/>
    <w:rsid w:val="00BA1A80"/>
    <w:rsid w:val="00BA3820"/>
    <w:rsid w:val="00BA4088"/>
    <w:rsid w:val="00BC14B6"/>
    <w:rsid w:val="00BC2DEA"/>
    <w:rsid w:val="00BC4CDE"/>
    <w:rsid w:val="00BD00AA"/>
    <w:rsid w:val="00BD3CAD"/>
    <w:rsid w:val="00BD3E9D"/>
    <w:rsid w:val="00BD5758"/>
    <w:rsid w:val="00BE23B6"/>
    <w:rsid w:val="00BE3152"/>
    <w:rsid w:val="00BF0CF1"/>
    <w:rsid w:val="00BF6204"/>
    <w:rsid w:val="00C02201"/>
    <w:rsid w:val="00C037C0"/>
    <w:rsid w:val="00C129B5"/>
    <w:rsid w:val="00C1646C"/>
    <w:rsid w:val="00C21AAE"/>
    <w:rsid w:val="00C26F01"/>
    <w:rsid w:val="00C31DA6"/>
    <w:rsid w:val="00C33A1C"/>
    <w:rsid w:val="00C412E8"/>
    <w:rsid w:val="00C45733"/>
    <w:rsid w:val="00C4729A"/>
    <w:rsid w:val="00C51082"/>
    <w:rsid w:val="00C52681"/>
    <w:rsid w:val="00C53887"/>
    <w:rsid w:val="00C55D59"/>
    <w:rsid w:val="00C57641"/>
    <w:rsid w:val="00C63763"/>
    <w:rsid w:val="00C64F6F"/>
    <w:rsid w:val="00C65579"/>
    <w:rsid w:val="00C66188"/>
    <w:rsid w:val="00C70E64"/>
    <w:rsid w:val="00C73741"/>
    <w:rsid w:val="00C73A60"/>
    <w:rsid w:val="00C80ED9"/>
    <w:rsid w:val="00C83AAC"/>
    <w:rsid w:val="00C91AB9"/>
    <w:rsid w:val="00C94286"/>
    <w:rsid w:val="00C943DA"/>
    <w:rsid w:val="00C945F4"/>
    <w:rsid w:val="00C9796F"/>
    <w:rsid w:val="00CA06BD"/>
    <w:rsid w:val="00CA0F5A"/>
    <w:rsid w:val="00CA507E"/>
    <w:rsid w:val="00CA6048"/>
    <w:rsid w:val="00CB13E7"/>
    <w:rsid w:val="00CB1CFE"/>
    <w:rsid w:val="00CB21A4"/>
    <w:rsid w:val="00CB23BE"/>
    <w:rsid w:val="00CB7F0B"/>
    <w:rsid w:val="00CC3E6E"/>
    <w:rsid w:val="00CD1378"/>
    <w:rsid w:val="00CD1CED"/>
    <w:rsid w:val="00CD3F75"/>
    <w:rsid w:val="00CD526B"/>
    <w:rsid w:val="00CF0B86"/>
    <w:rsid w:val="00CF1CE3"/>
    <w:rsid w:val="00CF3421"/>
    <w:rsid w:val="00CF6947"/>
    <w:rsid w:val="00D02D03"/>
    <w:rsid w:val="00D051D3"/>
    <w:rsid w:val="00D06B58"/>
    <w:rsid w:val="00D10EC2"/>
    <w:rsid w:val="00D126D4"/>
    <w:rsid w:val="00D12A54"/>
    <w:rsid w:val="00D164CC"/>
    <w:rsid w:val="00D20E8D"/>
    <w:rsid w:val="00D22912"/>
    <w:rsid w:val="00D22F3E"/>
    <w:rsid w:val="00D236CC"/>
    <w:rsid w:val="00D26092"/>
    <w:rsid w:val="00D271E1"/>
    <w:rsid w:val="00D33F3C"/>
    <w:rsid w:val="00D35AB8"/>
    <w:rsid w:val="00D37082"/>
    <w:rsid w:val="00D44D9A"/>
    <w:rsid w:val="00D51E9E"/>
    <w:rsid w:val="00D522AE"/>
    <w:rsid w:val="00D52F92"/>
    <w:rsid w:val="00D549DB"/>
    <w:rsid w:val="00D655AF"/>
    <w:rsid w:val="00D66862"/>
    <w:rsid w:val="00D66E9E"/>
    <w:rsid w:val="00D75F3B"/>
    <w:rsid w:val="00D76E17"/>
    <w:rsid w:val="00D77FE6"/>
    <w:rsid w:val="00D872F4"/>
    <w:rsid w:val="00D90AE1"/>
    <w:rsid w:val="00D944F7"/>
    <w:rsid w:val="00DA06B4"/>
    <w:rsid w:val="00DA3076"/>
    <w:rsid w:val="00DB15EE"/>
    <w:rsid w:val="00DB378F"/>
    <w:rsid w:val="00DB78CC"/>
    <w:rsid w:val="00DC064F"/>
    <w:rsid w:val="00DC170A"/>
    <w:rsid w:val="00DC270E"/>
    <w:rsid w:val="00DC6D02"/>
    <w:rsid w:val="00DC7C14"/>
    <w:rsid w:val="00DD380D"/>
    <w:rsid w:val="00DD6067"/>
    <w:rsid w:val="00DD68BC"/>
    <w:rsid w:val="00DE23B4"/>
    <w:rsid w:val="00DE2C3B"/>
    <w:rsid w:val="00DE519D"/>
    <w:rsid w:val="00DE611F"/>
    <w:rsid w:val="00DE737B"/>
    <w:rsid w:val="00DF199C"/>
    <w:rsid w:val="00DF27AE"/>
    <w:rsid w:val="00DF58F0"/>
    <w:rsid w:val="00DF5E88"/>
    <w:rsid w:val="00E00CF1"/>
    <w:rsid w:val="00E05594"/>
    <w:rsid w:val="00E11418"/>
    <w:rsid w:val="00E16EFB"/>
    <w:rsid w:val="00E21781"/>
    <w:rsid w:val="00E21B5B"/>
    <w:rsid w:val="00E2377B"/>
    <w:rsid w:val="00E2512D"/>
    <w:rsid w:val="00E25DB4"/>
    <w:rsid w:val="00E27070"/>
    <w:rsid w:val="00E3146A"/>
    <w:rsid w:val="00E34B3F"/>
    <w:rsid w:val="00E3722C"/>
    <w:rsid w:val="00E42B77"/>
    <w:rsid w:val="00E51022"/>
    <w:rsid w:val="00E6000B"/>
    <w:rsid w:val="00E63F86"/>
    <w:rsid w:val="00E670F8"/>
    <w:rsid w:val="00E70849"/>
    <w:rsid w:val="00E720EE"/>
    <w:rsid w:val="00E725D0"/>
    <w:rsid w:val="00E800E6"/>
    <w:rsid w:val="00E80255"/>
    <w:rsid w:val="00E851C6"/>
    <w:rsid w:val="00E8581A"/>
    <w:rsid w:val="00E87F8F"/>
    <w:rsid w:val="00E93846"/>
    <w:rsid w:val="00E97405"/>
    <w:rsid w:val="00EA01DC"/>
    <w:rsid w:val="00EA29BD"/>
    <w:rsid w:val="00EA3059"/>
    <w:rsid w:val="00EA3E8A"/>
    <w:rsid w:val="00EA6425"/>
    <w:rsid w:val="00EB35DA"/>
    <w:rsid w:val="00EB38B0"/>
    <w:rsid w:val="00EB38C4"/>
    <w:rsid w:val="00EC3A75"/>
    <w:rsid w:val="00EC3AB0"/>
    <w:rsid w:val="00EC6C21"/>
    <w:rsid w:val="00ED3651"/>
    <w:rsid w:val="00ED3F6C"/>
    <w:rsid w:val="00EE1229"/>
    <w:rsid w:val="00EE225C"/>
    <w:rsid w:val="00EE4725"/>
    <w:rsid w:val="00EF2723"/>
    <w:rsid w:val="00EF5BA2"/>
    <w:rsid w:val="00EF7861"/>
    <w:rsid w:val="00EF7B60"/>
    <w:rsid w:val="00F00FAC"/>
    <w:rsid w:val="00F06B28"/>
    <w:rsid w:val="00F072C8"/>
    <w:rsid w:val="00F10425"/>
    <w:rsid w:val="00F11776"/>
    <w:rsid w:val="00F117C0"/>
    <w:rsid w:val="00F16309"/>
    <w:rsid w:val="00F20A98"/>
    <w:rsid w:val="00F304CC"/>
    <w:rsid w:val="00F30F73"/>
    <w:rsid w:val="00F35A38"/>
    <w:rsid w:val="00F4036E"/>
    <w:rsid w:val="00F4356D"/>
    <w:rsid w:val="00F46822"/>
    <w:rsid w:val="00F52789"/>
    <w:rsid w:val="00F53EE6"/>
    <w:rsid w:val="00F54AE6"/>
    <w:rsid w:val="00F54C2F"/>
    <w:rsid w:val="00F550EB"/>
    <w:rsid w:val="00F55258"/>
    <w:rsid w:val="00F558DC"/>
    <w:rsid w:val="00F56467"/>
    <w:rsid w:val="00F57CDF"/>
    <w:rsid w:val="00F64D64"/>
    <w:rsid w:val="00F730BC"/>
    <w:rsid w:val="00F74ABC"/>
    <w:rsid w:val="00F762AB"/>
    <w:rsid w:val="00F763A5"/>
    <w:rsid w:val="00F86E30"/>
    <w:rsid w:val="00F8719C"/>
    <w:rsid w:val="00FA0DBC"/>
    <w:rsid w:val="00FA2439"/>
    <w:rsid w:val="00FA24D4"/>
    <w:rsid w:val="00FA4AB1"/>
    <w:rsid w:val="00FB34BA"/>
    <w:rsid w:val="00FB4C6F"/>
    <w:rsid w:val="00FB5398"/>
    <w:rsid w:val="00FB755F"/>
    <w:rsid w:val="00FD5013"/>
    <w:rsid w:val="00FD7F9B"/>
    <w:rsid w:val="00FE133C"/>
    <w:rsid w:val="00FE3B0B"/>
    <w:rsid w:val="00FE3DAB"/>
    <w:rsid w:val="00FE4394"/>
    <w:rsid w:val="00FE7A12"/>
    <w:rsid w:val="00FF015E"/>
    <w:rsid w:val="00FF0CF7"/>
    <w:rsid w:val="00FF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95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025"/>
  </w:style>
  <w:style w:type="paragraph" w:styleId="Overskrift1">
    <w:name w:val="heading 1"/>
    <w:basedOn w:val="Normal"/>
    <w:next w:val="Normal"/>
    <w:link w:val="Overskrift1Tegn"/>
    <w:uiPriority w:val="9"/>
    <w:qFormat/>
    <w:rsid w:val="00B450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450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B45025"/>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B45025"/>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B45025"/>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B4502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B450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B4502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B450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45025"/>
    <w:pPr>
      <w:ind w:left="720"/>
      <w:contextualSpacing/>
    </w:pPr>
  </w:style>
  <w:style w:type="paragraph" w:styleId="Slutnotetekst">
    <w:name w:val="endnote text"/>
    <w:basedOn w:val="Normal"/>
    <w:link w:val="SlutnotetekstTegn"/>
    <w:unhideWhenUsed/>
    <w:rsid w:val="006E7A40"/>
    <w:pPr>
      <w:spacing w:after="0" w:line="240" w:lineRule="auto"/>
    </w:pPr>
    <w:rPr>
      <w:sz w:val="20"/>
      <w:szCs w:val="20"/>
    </w:rPr>
  </w:style>
  <w:style w:type="character" w:customStyle="1" w:styleId="SlutnotetekstTegn">
    <w:name w:val="Slutnotetekst Tegn"/>
    <w:basedOn w:val="Standardskrifttypeiafsnit"/>
    <w:link w:val="Slutnotetekst"/>
    <w:rsid w:val="006E7A40"/>
    <w:rPr>
      <w:sz w:val="20"/>
      <w:szCs w:val="20"/>
    </w:rPr>
  </w:style>
  <w:style w:type="character" w:styleId="Slutnotehenvisning">
    <w:name w:val="endnote reference"/>
    <w:basedOn w:val="Standardskrifttypeiafsnit"/>
    <w:unhideWhenUsed/>
    <w:rsid w:val="006E7A40"/>
    <w:rPr>
      <w:vertAlign w:val="superscript"/>
    </w:rPr>
  </w:style>
  <w:style w:type="character" w:customStyle="1" w:styleId="apple-converted-space">
    <w:name w:val="apple-converted-space"/>
    <w:basedOn w:val="Standardskrifttypeiafsnit"/>
    <w:rsid w:val="006E7A40"/>
  </w:style>
  <w:style w:type="character" w:styleId="Fremhv">
    <w:name w:val="Emphasis"/>
    <w:basedOn w:val="Standardskrifttypeiafsnit"/>
    <w:uiPriority w:val="20"/>
    <w:qFormat/>
    <w:rsid w:val="00B45025"/>
    <w:rPr>
      <w:i/>
      <w:iCs/>
    </w:rPr>
  </w:style>
  <w:style w:type="character" w:styleId="Hyperlink">
    <w:name w:val="Hyperlink"/>
    <w:basedOn w:val="Standardskrifttypeiafsnit"/>
    <w:uiPriority w:val="99"/>
    <w:unhideWhenUsed/>
    <w:rsid w:val="006E7A40"/>
    <w:rPr>
      <w:color w:val="0000FF"/>
      <w:u w:val="single"/>
    </w:rPr>
  </w:style>
  <w:style w:type="paragraph" w:styleId="Markeringsbobletekst">
    <w:name w:val="Balloon Text"/>
    <w:basedOn w:val="Normal"/>
    <w:link w:val="MarkeringsbobletekstTegn"/>
    <w:uiPriority w:val="99"/>
    <w:semiHidden/>
    <w:unhideWhenUsed/>
    <w:rsid w:val="00EA642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6425"/>
    <w:rPr>
      <w:rFonts w:ascii="Tahoma" w:hAnsi="Tahoma" w:cs="Tahoma"/>
      <w:sz w:val="16"/>
      <w:szCs w:val="16"/>
    </w:rPr>
  </w:style>
  <w:style w:type="character" w:styleId="Kommentarhenvisning">
    <w:name w:val="annotation reference"/>
    <w:basedOn w:val="Standardskrifttypeiafsnit"/>
    <w:uiPriority w:val="99"/>
    <w:semiHidden/>
    <w:unhideWhenUsed/>
    <w:rsid w:val="00A76723"/>
    <w:rPr>
      <w:sz w:val="16"/>
      <w:szCs w:val="16"/>
    </w:rPr>
  </w:style>
  <w:style w:type="paragraph" w:styleId="Kommentartekst">
    <w:name w:val="annotation text"/>
    <w:basedOn w:val="Normal"/>
    <w:link w:val="KommentartekstTegn"/>
    <w:uiPriority w:val="99"/>
    <w:rsid w:val="00A76723"/>
    <w:pPr>
      <w:spacing w:after="0" w:line="240" w:lineRule="auto"/>
    </w:pPr>
    <w:rPr>
      <w:rFonts w:ascii="Garamond" w:eastAsia="Times New Roman" w:hAnsi="Garamond" w:cs="Calibri"/>
      <w:sz w:val="24"/>
      <w:szCs w:val="20"/>
      <w:lang w:val="en-GB" w:eastAsia="da-DK"/>
    </w:rPr>
  </w:style>
  <w:style w:type="character" w:customStyle="1" w:styleId="KommentartekstTegn">
    <w:name w:val="Kommentartekst Tegn"/>
    <w:basedOn w:val="Standardskrifttypeiafsnit"/>
    <w:link w:val="Kommentartekst"/>
    <w:uiPriority w:val="99"/>
    <w:rsid w:val="00A76723"/>
    <w:rPr>
      <w:rFonts w:ascii="Garamond" w:eastAsia="Times New Roman" w:hAnsi="Garamond" w:cs="Calibri"/>
      <w:sz w:val="24"/>
      <w:szCs w:val="20"/>
      <w:lang w:val="en-GB" w:eastAsia="da-DK"/>
    </w:rPr>
  </w:style>
  <w:style w:type="paragraph" w:styleId="NormalWeb">
    <w:name w:val="Normal (Web)"/>
    <w:basedOn w:val="Normal"/>
    <w:uiPriority w:val="99"/>
    <w:semiHidden/>
    <w:unhideWhenUsed/>
    <w:rsid w:val="00B15D0E"/>
    <w:pPr>
      <w:spacing w:before="100" w:beforeAutospacing="1" w:after="100" w:afterAutospacing="1" w:line="240" w:lineRule="auto"/>
    </w:pPr>
    <w:rPr>
      <w:rFonts w:ascii="Times New Roman" w:hAnsi="Times New Roman" w:cs="Times New Roman"/>
      <w:sz w:val="24"/>
      <w:szCs w:val="24"/>
    </w:rPr>
  </w:style>
  <w:style w:type="character" w:customStyle="1" w:styleId="Overskrift1Tegn">
    <w:name w:val="Overskrift 1 Tegn"/>
    <w:basedOn w:val="Standardskrifttypeiafsnit"/>
    <w:link w:val="Overskrift1"/>
    <w:uiPriority w:val="9"/>
    <w:rsid w:val="00B45025"/>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B45025"/>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semiHidden/>
    <w:rsid w:val="00B45025"/>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B45025"/>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B45025"/>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B45025"/>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B45025"/>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B45025"/>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B45025"/>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B45025"/>
    <w:pPr>
      <w:spacing w:line="240" w:lineRule="auto"/>
    </w:pPr>
    <w:rPr>
      <w:b/>
      <w:bCs/>
      <w:color w:val="4F81BD" w:themeColor="accent1"/>
      <w:sz w:val="18"/>
      <w:szCs w:val="18"/>
    </w:rPr>
  </w:style>
  <w:style w:type="paragraph" w:styleId="Titel">
    <w:name w:val="Title"/>
    <w:basedOn w:val="Normal"/>
    <w:next w:val="Normal"/>
    <w:link w:val="TitelTegn"/>
    <w:uiPriority w:val="10"/>
    <w:qFormat/>
    <w:rsid w:val="00B450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45025"/>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450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45025"/>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B45025"/>
    <w:rPr>
      <w:b/>
      <w:bCs/>
    </w:rPr>
  </w:style>
  <w:style w:type="paragraph" w:styleId="Ingenafstand">
    <w:name w:val="No Spacing"/>
    <w:uiPriority w:val="1"/>
    <w:qFormat/>
    <w:rsid w:val="00B45025"/>
    <w:pPr>
      <w:spacing w:after="0" w:line="240" w:lineRule="auto"/>
    </w:pPr>
  </w:style>
  <w:style w:type="paragraph" w:styleId="Citat">
    <w:name w:val="Quote"/>
    <w:basedOn w:val="Normal"/>
    <w:next w:val="Normal"/>
    <w:link w:val="CitatTegn"/>
    <w:uiPriority w:val="29"/>
    <w:qFormat/>
    <w:rsid w:val="00B45025"/>
    <w:rPr>
      <w:i/>
      <w:iCs/>
      <w:color w:val="000000" w:themeColor="text1"/>
    </w:rPr>
  </w:style>
  <w:style w:type="character" w:customStyle="1" w:styleId="CitatTegn">
    <w:name w:val="Citat Tegn"/>
    <w:basedOn w:val="Standardskrifttypeiafsnit"/>
    <w:link w:val="Citat"/>
    <w:uiPriority w:val="29"/>
    <w:rsid w:val="00B45025"/>
    <w:rPr>
      <w:i/>
      <w:iCs/>
      <w:color w:val="000000" w:themeColor="text1"/>
    </w:rPr>
  </w:style>
  <w:style w:type="paragraph" w:styleId="Strktcitat">
    <w:name w:val="Intense Quote"/>
    <w:basedOn w:val="Normal"/>
    <w:next w:val="Normal"/>
    <w:link w:val="StrktcitatTegn"/>
    <w:uiPriority w:val="30"/>
    <w:qFormat/>
    <w:rsid w:val="00B45025"/>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B45025"/>
    <w:rPr>
      <w:b/>
      <w:bCs/>
      <w:i/>
      <w:iCs/>
      <w:color w:val="4F81BD" w:themeColor="accent1"/>
    </w:rPr>
  </w:style>
  <w:style w:type="character" w:styleId="Svagfremhvning">
    <w:name w:val="Subtle Emphasis"/>
    <w:basedOn w:val="Standardskrifttypeiafsnit"/>
    <w:uiPriority w:val="19"/>
    <w:qFormat/>
    <w:rsid w:val="00B45025"/>
    <w:rPr>
      <w:i/>
      <w:iCs/>
      <w:color w:val="808080" w:themeColor="text1" w:themeTint="7F"/>
    </w:rPr>
  </w:style>
  <w:style w:type="character" w:styleId="Kraftigfremhvning">
    <w:name w:val="Intense Emphasis"/>
    <w:basedOn w:val="Standardskrifttypeiafsnit"/>
    <w:uiPriority w:val="21"/>
    <w:qFormat/>
    <w:rsid w:val="00B45025"/>
    <w:rPr>
      <w:b/>
      <w:bCs/>
      <w:i/>
      <w:iCs/>
      <w:color w:val="4F81BD" w:themeColor="accent1"/>
    </w:rPr>
  </w:style>
  <w:style w:type="character" w:styleId="Svaghenvisning">
    <w:name w:val="Subtle Reference"/>
    <w:basedOn w:val="Standardskrifttypeiafsnit"/>
    <w:uiPriority w:val="31"/>
    <w:qFormat/>
    <w:rsid w:val="00B45025"/>
    <w:rPr>
      <w:smallCaps/>
      <w:color w:val="C0504D" w:themeColor="accent2"/>
      <w:u w:val="single"/>
    </w:rPr>
  </w:style>
  <w:style w:type="character" w:styleId="Kraftighenvisning">
    <w:name w:val="Intense Reference"/>
    <w:basedOn w:val="Standardskrifttypeiafsnit"/>
    <w:uiPriority w:val="32"/>
    <w:qFormat/>
    <w:rsid w:val="00B45025"/>
    <w:rPr>
      <w:b/>
      <w:bCs/>
      <w:smallCaps/>
      <w:color w:val="C0504D" w:themeColor="accent2"/>
      <w:spacing w:val="5"/>
      <w:u w:val="single"/>
    </w:rPr>
  </w:style>
  <w:style w:type="character" w:styleId="Bogenstitel">
    <w:name w:val="Book Title"/>
    <w:basedOn w:val="Standardskrifttypeiafsnit"/>
    <w:uiPriority w:val="33"/>
    <w:qFormat/>
    <w:rsid w:val="00B45025"/>
    <w:rPr>
      <w:b/>
      <w:bCs/>
      <w:smallCaps/>
      <w:spacing w:val="5"/>
    </w:rPr>
  </w:style>
  <w:style w:type="paragraph" w:styleId="Overskrift">
    <w:name w:val="TOC Heading"/>
    <w:basedOn w:val="Overskrift1"/>
    <w:next w:val="Normal"/>
    <w:uiPriority w:val="39"/>
    <w:unhideWhenUsed/>
    <w:qFormat/>
    <w:rsid w:val="00B45025"/>
    <w:pPr>
      <w:outlineLvl w:val="9"/>
    </w:pPr>
  </w:style>
  <w:style w:type="paragraph" w:styleId="Indholdsfortegnelse1">
    <w:name w:val="toc 1"/>
    <w:basedOn w:val="Normal"/>
    <w:next w:val="Normal"/>
    <w:autoRedefine/>
    <w:uiPriority w:val="39"/>
    <w:unhideWhenUsed/>
    <w:rsid w:val="00BF0CF1"/>
    <w:pPr>
      <w:tabs>
        <w:tab w:val="left" w:pos="450"/>
        <w:tab w:val="right" w:leader="dot" w:pos="9350"/>
      </w:tabs>
      <w:spacing w:after="100"/>
    </w:pPr>
  </w:style>
  <w:style w:type="paragraph" w:styleId="Indholdsfortegnelse2">
    <w:name w:val="toc 2"/>
    <w:basedOn w:val="Normal"/>
    <w:next w:val="Normal"/>
    <w:autoRedefine/>
    <w:uiPriority w:val="39"/>
    <w:unhideWhenUsed/>
    <w:rsid w:val="00BF0CF1"/>
    <w:pPr>
      <w:tabs>
        <w:tab w:val="right" w:leader="dot" w:pos="9350"/>
      </w:tabs>
      <w:spacing w:after="100"/>
      <w:ind w:left="450"/>
    </w:pPr>
  </w:style>
  <w:style w:type="paragraph" w:styleId="Sidehoved">
    <w:name w:val="header"/>
    <w:basedOn w:val="Normal"/>
    <w:link w:val="SidehovedTegn"/>
    <w:uiPriority w:val="99"/>
    <w:unhideWhenUsed/>
    <w:rsid w:val="00F52789"/>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F52789"/>
  </w:style>
  <w:style w:type="paragraph" w:styleId="Sidefod">
    <w:name w:val="footer"/>
    <w:basedOn w:val="Normal"/>
    <w:link w:val="SidefodTegn"/>
    <w:uiPriority w:val="99"/>
    <w:unhideWhenUsed/>
    <w:rsid w:val="00F52789"/>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F52789"/>
  </w:style>
  <w:style w:type="paragraph" w:styleId="Kommentaremne">
    <w:name w:val="annotation subject"/>
    <w:basedOn w:val="Kommentartekst"/>
    <w:next w:val="Kommentartekst"/>
    <w:link w:val="KommentaremneTegn"/>
    <w:uiPriority w:val="99"/>
    <w:semiHidden/>
    <w:unhideWhenUsed/>
    <w:rsid w:val="00B42345"/>
    <w:pPr>
      <w:spacing w:after="200"/>
    </w:pPr>
    <w:rPr>
      <w:rFonts w:asciiTheme="minorHAnsi" w:eastAsiaTheme="minorEastAsia" w:hAnsiTheme="minorHAnsi" w:cstheme="minorBidi"/>
      <w:b/>
      <w:bCs/>
      <w:sz w:val="20"/>
      <w:lang w:val="en-US" w:eastAsia="en-US"/>
    </w:rPr>
  </w:style>
  <w:style w:type="character" w:customStyle="1" w:styleId="KommentaremneTegn">
    <w:name w:val="Kommentaremne Tegn"/>
    <w:basedOn w:val="KommentartekstTegn"/>
    <w:link w:val="Kommentaremne"/>
    <w:uiPriority w:val="99"/>
    <w:semiHidden/>
    <w:rsid w:val="00B42345"/>
    <w:rPr>
      <w:rFonts w:ascii="Garamond" w:eastAsia="Times New Roman" w:hAnsi="Garamond" w:cs="Calibri"/>
      <w:b/>
      <w:bCs/>
      <w:sz w:val="20"/>
      <w:szCs w:val="20"/>
      <w:lang w:val="en-GB" w:eastAsia="da-DK"/>
    </w:rPr>
  </w:style>
  <w:style w:type="paragraph" w:styleId="Fodnotetekst">
    <w:name w:val="footnote text"/>
    <w:basedOn w:val="Normal"/>
    <w:link w:val="FodnotetekstTegn"/>
    <w:uiPriority w:val="99"/>
    <w:semiHidden/>
    <w:unhideWhenUsed/>
    <w:rsid w:val="005C60C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5C60CD"/>
    <w:rPr>
      <w:sz w:val="20"/>
      <w:szCs w:val="20"/>
    </w:rPr>
  </w:style>
  <w:style w:type="character" w:styleId="Fodnotehenvisning">
    <w:name w:val="footnote reference"/>
    <w:basedOn w:val="Standardskrifttypeiafsnit"/>
    <w:uiPriority w:val="99"/>
    <w:semiHidden/>
    <w:unhideWhenUsed/>
    <w:rsid w:val="005C60CD"/>
    <w:rPr>
      <w:vertAlign w:val="superscript"/>
    </w:rPr>
  </w:style>
  <w:style w:type="table" w:styleId="Tabel-Gitter">
    <w:name w:val="Table Grid"/>
    <w:basedOn w:val="Tabel-Normal"/>
    <w:uiPriority w:val="59"/>
    <w:rsid w:val="00B2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025"/>
  </w:style>
  <w:style w:type="paragraph" w:styleId="Overskrift1">
    <w:name w:val="heading 1"/>
    <w:basedOn w:val="Normal"/>
    <w:next w:val="Normal"/>
    <w:link w:val="Overskrift1Tegn"/>
    <w:uiPriority w:val="9"/>
    <w:qFormat/>
    <w:rsid w:val="00B450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450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B45025"/>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B45025"/>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B45025"/>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B4502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B450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B4502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B450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45025"/>
    <w:pPr>
      <w:ind w:left="720"/>
      <w:contextualSpacing/>
    </w:pPr>
  </w:style>
  <w:style w:type="paragraph" w:styleId="Slutnotetekst">
    <w:name w:val="endnote text"/>
    <w:basedOn w:val="Normal"/>
    <w:link w:val="SlutnotetekstTegn"/>
    <w:unhideWhenUsed/>
    <w:rsid w:val="006E7A40"/>
    <w:pPr>
      <w:spacing w:after="0" w:line="240" w:lineRule="auto"/>
    </w:pPr>
    <w:rPr>
      <w:sz w:val="20"/>
      <w:szCs w:val="20"/>
    </w:rPr>
  </w:style>
  <w:style w:type="character" w:customStyle="1" w:styleId="SlutnotetekstTegn">
    <w:name w:val="Slutnotetekst Tegn"/>
    <w:basedOn w:val="Standardskrifttypeiafsnit"/>
    <w:link w:val="Slutnotetekst"/>
    <w:rsid w:val="006E7A40"/>
    <w:rPr>
      <w:sz w:val="20"/>
      <w:szCs w:val="20"/>
    </w:rPr>
  </w:style>
  <w:style w:type="character" w:styleId="Slutnotehenvisning">
    <w:name w:val="endnote reference"/>
    <w:basedOn w:val="Standardskrifttypeiafsnit"/>
    <w:unhideWhenUsed/>
    <w:rsid w:val="006E7A40"/>
    <w:rPr>
      <w:vertAlign w:val="superscript"/>
    </w:rPr>
  </w:style>
  <w:style w:type="character" w:customStyle="1" w:styleId="apple-converted-space">
    <w:name w:val="apple-converted-space"/>
    <w:basedOn w:val="Standardskrifttypeiafsnit"/>
    <w:rsid w:val="006E7A40"/>
  </w:style>
  <w:style w:type="character" w:styleId="Fremhv">
    <w:name w:val="Emphasis"/>
    <w:basedOn w:val="Standardskrifttypeiafsnit"/>
    <w:uiPriority w:val="20"/>
    <w:qFormat/>
    <w:rsid w:val="00B45025"/>
    <w:rPr>
      <w:i/>
      <w:iCs/>
    </w:rPr>
  </w:style>
  <w:style w:type="character" w:styleId="Hyperlink">
    <w:name w:val="Hyperlink"/>
    <w:basedOn w:val="Standardskrifttypeiafsnit"/>
    <w:uiPriority w:val="99"/>
    <w:unhideWhenUsed/>
    <w:rsid w:val="006E7A40"/>
    <w:rPr>
      <w:color w:val="0000FF"/>
      <w:u w:val="single"/>
    </w:rPr>
  </w:style>
  <w:style w:type="paragraph" w:styleId="Markeringsbobletekst">
    <w:name w:val="Balloon Text"/>
    <w:basedOn w:val="Normal"/>
    <w:link w:val="MarkeringsbobletekstTegn"/>
    <w:uiPriority w:val="99"/>
    <w:semiHidden/>
    <w:unhideWhenUsed/>
    <w:rsid w:val="00EA642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6425"/>
    <w:rPr>
      <w:rFonts w:ascii="Tahoma" w:hAnsi="Tahoma" w:cs="Tahoma"/>
      <w:sz w:val="16"/>
      <w:szCs w:val="16"/>
    </w:rPr>
  </w:style>
  <w:style w:type="character" w:styleId="Kommentarhenvisning">
    <w:name w:val="annotation reference"/>
    <w:basedOn w:val="Standardskrifttypeiafsnit"/>
    <w:uiPriority w:val="99"/>
    <w:semiHidden/>
    <w:unhideWhenUsed/>
    <w:rsid w:val="00A76723"/>
    <w:rPr>
      <w:sz w:val="16"/>
      <w:szCs w:val="16"/>
    </w:rPr>
  </w:style>
  <w:style w:type="paragraph" w:styleId="Kommentartekst">
    <w:name w:val="annotation text"/>
    <w:basedOn w:val="Normal"/>
    <w:link w:val="KommentartekstTegn"/>
    <w:uiPriority w:val="99"/>
    <w:rsid w:val="00A76723"/>
    <w:pPr>
      <w:spacing w:after="0" w:line="240" w:lineRule="auto"/>
    </w:pPr>
    <w:rPr>
      <w:rFonts w:ascii="Garamond" w:eastAsia="Times New Roman" w:hAnsi="Garamond" w:cs="Calibri"/>
      <w:sz w:val="24"/>
      <w:szCs w:val="20"/>
      <w:lang w:val="en-GB" w:eastAsia="da-DK"/>
    </w:rPr>
  </w:style>
  <w:style w:type="character" w:customStyle="1" w:styleId="KommentartekstTegn">
    <w:name w:val="Kommentartekst Tegn"/>
    <w:basedOn w:val="Standardskrifttypeiafsnit"/>
    <w:link w:val="Kommentartekst"/>
    <w:uiPriority w:val="99"/>
    <w:rsid w:val="00A76723"/>
    <w:rPr>
      <w:rFonts w:ascii="Garamond" w:eastAsia="Times New Roman" w:hAnsi="Garamond" w:cs="Calibri"/>
      <w:sz w:val="24"/>
      <w:szCs w:val="20"/>
      <w:lang w:val="en-GB" w:eastAsia="da-DK"/>
    </w:rPr>
  </w:style>
  <w:style w:type="paragraph" w:styleId="NormalWeb">
    <w:name w:val="Normal (Web)"/>
    <w:basedOn w:val="Normal"/>
    <w:uiPriority w:val="99"/>
    <w:semiHidden/>
    <w:unhideWhenUsed/>
    <w:rsid w:val="00B15D0E"/>
    <w:pPr>
      <w:spacing w:before="100" w:beforeAutospacing="1" w:after="100" w:afterAutospacing="1" w:line="240" w:lineRule="auto"/>
    </w:pPr>
    <w:rPr>
      <w:rFonts w:ascii="Times New Roman" w:hAnsi="Times New Roman" w:cs="Times New Roman"/>
      <w:sz w:val="24"/>
      <w:szCs w:val="24"/>
    </w:rPr>
  </w:style>
  <w:style w:type="character" w:customStyle="1" w:styleId="Overskrift1Tegn">
    <w:name w:val="Overskrift 1 Tegn"/>
    <w:basedOn w:val="Standardskrifttypeiafsnit"/>
    <w:link w:val="Overskrift1"/>
    <w:uiPriority w:val="9"/>
    <w:rsid w:val="00B45025"/>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B45025"/>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semiHidden/>
    <w:rsid w:val="00B45025"/>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B45025"/>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B45025"/>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B45025"/>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B45025"/>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B45025"/>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B45025"/>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B45025"/>
    <w:pPr>
      <w:spacing w:line="240" w:lineRule="auto"/>
    </w:pPr>
    <w:rPr>
      <w:b/>
      <w:bCs/>
      <w:color w:val="4F81BD" w:themeColor="accent1"/>
      <w:sz w:val="18"/>
      <w:szCs w:val="18"/>
    </w:rPr>
  </w:style>
  <w:style w:type="paragraph" w:styleId="Titel">
    <w:name w:val="Title"/>
    <w:basedOn w:val="Normal"/>
    <w:next w:val="Normal"/>
    <w:link w:val="TitelTegn"/>
    <w:uiPriority w:val="10"/>
    <w:qFormat/>
    <w:rsid w:val="00B450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45025"/>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450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45025"/>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B45025"/>
    <w:rPr>
      <w:b/>
      <w:bCs/>
    </w:rPr>
  </w:style>
  <w:style w:type="paragraph" w:styleId="Ingenafstand">
    <w:name w:val="No Spacing"/>
    <w:uiPriority w:val="1"/>
    <w:qFormat/>
    <w:rsid w:val="00B45025"/>
    <w:pPr>
      <w:spacing w:after="0" w:line="240" w:lineRule="auto"/>
    </w:pPr>
  </w:style>
  <w:style w:type="paragraph" w:styleId="Citat">
    <w:name w:val="Quote"/>
    <w:basedOn w:val="Normal"/>
    <w:next w:val="Normal"/>
    <w:link w:val="CitatTegn"/>
    <w:uiPriority w:val="29"/>
    <w:qFormat/>
    <w:rsid w:val="00B45025"/>
    <w:rPr>
      <w:i/>
      <w:iCs/>
      <w:color w:val="000000" w:themeColor="text1"/>
    </w:rPr>
  </w:style>
  <w:style w:type="character" w:customStyle="1" w:styleId="CitatTegn">
    <w:name w:val="Citat Tegn"/>
    <w:basedOn w:val="Standardskrifttypeiafsnit"/>
    <w:link w:val="Citat"/>
    <w:uiPriority w:val="29"/>
    <w:rsid w:val="00B45025"/>
    <w:rPr>
      <w:i/>
      <w:iCs/>
      <w:color w:val="000000" w:themeColor="text1"/>
    </w:rPr>
  </w:style>
  <w:style w:type="paragraph" w:styleId="Strktcitat">
    <w:name w:val="Intense Quote"/>
    <w:basedOn w:val="Normal"/>
    <w:next w:val="Normal"/>
    <w:link w:val="StrktcitatTegn"/>
    <w:uiPriority w:val="30"/>
    <w:qFormat/>
    <w:rsid w:val="00B45025"/>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B45025"/>
    <w:rPr>
      <w:b/>
      <w:bCs/>
      <w:i/>
      <w:iCs/>
      <w:color w:val="4F81BD" w:themeColor="accent1"/>
    </w:rPr>
  </w:style>
  <w:style w:type="character" w:styleId="Svagfremhvning">
    <w:name w:val="Subtle Emphasis"/>
    <w:basedOn w:val="Standardskrifttypeiafsnit"/>
    <w:uiPriority w:val="19"/>
    <w:qFormat/>
    <w:rsid w:val="00B45025"/>
    <w:rPr>
      <w:i/>
      <w:iCs/>
      <w:color w:val="808080" w:themeColor="text1" w:themeTint="7F"/>
    </w:rPr>
  </w:style>
  <w:style w:type="character" w:styleId="Kraftigfremhvning">
    <w:name w:val="Intense Emphasis"/>
    <w:basedOn w:val="Standardskrifttypeiafsnit"/>
    <w:uiPriority w:val="21"/>
    <w:qFormat/>
    <w:rsid w:val="00B45025"/>
    <w:rPr>
      <w:b/>
      <w:bCs/>
      <w:i/>
      <w:iCs/>
      <w:color w:val="4F81BD" w:themeColor="accent1"/>
    </w:rPr>
  </w:style>
  <w:style w:type="character" w:styleId="Svaghenvisning">
    <w:name w:val="Subtle Reference"/>
    <w:basedOn w:val="Standardskrifttypeiafsnit"/>
    <w:uiPriority w:val="31"/>
    <w:qFormat/>
    <w:rsid w:val="00B45025"/>
    <w:rPr>
      <w:smallCaps/>
      <w:color w:val="C0504D" w:themeColor="accent2"/>
      <w:u w:val="single"/>
    </w:rPr>
  </w:style>
  <w:style w:type="character" w:styleId="Kraftighenvisning">
    <w:name w:val="Intense Reference"/>
    <w:basedOn w:val="Standardskrifttypeiafsnit"/>
    <w:uiPriority w:val="32"/>
    <w:qFormat/>
    <w:rsid w:val="00B45025"/>
    <w:rPr>
      <w:b/>
      <w:bCs/>
      <w:smallCaps/>
      <w:color w:val="C0504D" w:themeColor="accent2"/>
      <w:spacing w:val="5"/>
      <w:u w:val="single"/>
    </w:rPr>
  </w:style>
  <w:style w:type="character" w:styleId="Bogenstitel">
    <w:name w:val="Book Title"/>
    <w:basedOn w:val="Standardskrifttypeiafsnit"/>
    <w:uiPriority w:val="33"/>
    <w:qFormat/>
    <w:rsid w:val="00B45025"/>
    <w:rPr>
      <w:b/>
      <w:bCs/>
      <w:smallCaps/>
      <w:spacing w:val="5"/>
    </w:rPr>
  </w:style>
  <w:style w:type="paragraph" w:styleId="Overskrift">
    <w:name w:val="TOC Heading"/>
    <w:basedOn w:val="Overskrift1"/>
    <w:next w:val="Normal"/>
    <w:uiPriority w:val="39"/>
    <w:unhideWhenUsed/>
    <w:qFormat/>
    <w:rsid w:val="00B45025"/>
    <w:pPr>
      <w:outlineLvl w:val="9"/>
    </w:pPr>
  </w:style>
  <w:style w:type="paragraph" w:styleId="Indholdsfortegnelse1">
    <w:name w:val="toc 1"/>
    <w:basedOn w:val="Normal"/>
    <w:next w:val="Normal"/>
    <w:autoRedefine/>
    <w:uiPriority w:val="39"/>
    <w:unhideWhenUsed/>
    <w:rsid w:val="00BF0CF1"/>
    <w:pPr>
      <w:tabs>
        <w:tab w:val="left" w:pos="450"/>
        <w:tab w:val="right" w:leader="dot" w:pos="9350"/>
      </w:tabs>
      <w:spacing w:after="100"/>
    </w:pPr>
  </w:style>
  <w:style w:type="paragraph" w:styleId="Indholdsfortegnelse2">
    <w:name w:val="toc 2"/>
    <w:basedOn w:val="Normal"/>
    <w:next w:val="Normal"/>
    <w:autoRedefine/>
    <w:uiPriority w:val="39"/>
    <w:unhideWhenUsed/>
    <w:rsid w:val="00BF0CF1"/>
    <w:pPr>
      <w:tabs>
        <w:tab w:val="right" w:leader="dot" w:pos="9350"/>
      </w:tabs>
      <w:spacing w:after="100"/>
      <w:ind w:left="450"/>
    </w:pPr>
  </w:style>
  <w:style w:type="paragraph" w:styleId="Sidehoved">
    <w:name w:val="header"/>
    <w:basedOn w:val="Normal"/>
    <w:link w:val="SidehovedTegn"/>
    <w:uiPriority w:val="99"/>
    <w:unhideWhenUsed/>
    <w:rsid w:val="00F52789"/>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F52789"/>
  </w:style>
  <w:style w:type="paragraph" w:styleId="Sidefod">
    <w:name w:val="footer"/>
    <w:basedOn w:val="Normal"/>
    <w:link w:val="SidefodTegn"/>
    <w:uiPriority w:val="99"/>
    <w:unhideWhenUsed/>
    <w:rsid w:val="00F52789"/>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F52789"/>
  </w:style>
  <w:style w:type="paragraph" w:styleId="Kommentaremne">
    <w:name w:val="annotation subject"/>
    <w:basedOn w:val="Kommentartekst"/>
    <w:next w:val="Kommentartekst"/>
    <w:link w:val="KommentaremneTegn"/>
    <w:uiPriority w:val="99"/>
    <w:semiHidden/>
    <w:unhideWhenUsed/>
    <w:rsid w:val="00B42345"/>
    <w:pPr>
      <w:spacing w:after="200"/>
    </w:pPr>
    <w:rPr>
      <w:rFonts w:asciiTheme="minorHAnsi" w:eastAsiaTheme="minorEastAsia" w:hAnsiTheme="minorHAnsi" w:cstheme="minorBidi"/>
      <w:b/>
      <w:bCs/>
      <w:sz w:val="20"/>
      <w:lang w:val="en-US" w:eastAsia="en-US"/>
    </w:rPr>
  </w:style>
  <w:style w:type="character" w:customStyle="1" w:styleId="KommentaremneTegn">
    <w:name w:val="Kommentaremne Tegn"/>
    <w:basedOn w:val="KommentartekstTegn"/>
    <w:link w:val="Kommentaremne"/>
    <w:uiPriority w:val="99"/>
    <w:semiHidden/>
    <w:rsid w:val="00B42345"/>
    <w:rPr>
      <w:rFonts w:ascii="Garamond" w:eastAsia="Times New Roman" w:hAnsi="Garamond" w:cs="Calibri"/>
      <w:b/>
      <w:bCs/>
      <w:sz w:val="20"/>
      <w:szCs w:val="20"/>
      <w:lang w:val="en-GB" w:eastAsia="da-DK"/>
    </w:rPr>
  </w:style>
  <w:style w:type="paragraph" w:styleId="Fodnotetekst">
    <w:name w:val="footnote text"/>
    <w:basedOn w:val="Normal"/>
    <w:link w:val="FodnotetekstTegn"/>
    <w:uiPriority w:val="99"/>
    <w:semiHidden/>
    <w:unhideWhenUsed/>
    <w:rsid w:val="005C60C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5C60CD"/>
    <w:rPr>
      <w:sz w:val="20"/>
      <w:szCs w:val="20"/>
    </w:rPr>
  </w:style>
  <w:style w:type="character" w:styleId="Fodnotehenvisning">
    <w:name w:val="footnote reference"/>
    <w:basedOn w:val="Standardskrifttypeiafsnit"/>
    <w:uiPriority w:val="99"/>
    <w:semiHidden/>
    <w:unhideWhenUsed/>
    <w:rsid w:val="005C60CD"/>
    <w:rPr>
      <w:vertAlign w:val="superscript"/>
    </w:rPr>
  </w:style>
  <w:style w:type="table" w:styleId="Tabel-Gitter">
    <w:name w:val="Table Grid"/>
    <w:basedOn w:val="Tabel-Normal"/>
    <w:uiPriority w:val="59"/>
    <w:rsid w:val="00B2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1071">
      <w:bodyDiv w:val="1"/>
      <w:marLeft w:val="0"/>
      <w:marRight w:val="0"/>
      <w:marTop w:val="0"/>
      <w:marBottom w:val="0"/>
      <w:divBdr>
        <w:top w:val="none" w:sz="0" w:space="0" w:color="auto"/>
        <w:left w:val="none" w:sz="0" w:space="0" w:color="auto"/>
        <w:bottom w:val="none" w:sz="0" w:space="0" w:color="auto"/>
        <w:right w:val="none" w:sz="0" w:space="0" w:color="auto"/>
      </w:divBdr>
    </w:div>
    <w:div w:id="425420337">
      <w:bodyDiv w:val="1"/>
      <w:marLeft w:val="0"/>
      <w:marRight w:val="0"/>
      <w:marTop w:val="0"/>
      <w:marBottom w:val="0"/>
      <w:divBdr>
        <w:top w:val="none" w:sz="0" w:space="0" w:color="auto"/>
        <w:left w:val="none" w:sz="0" w:space="0" w:color="auto"/>
        <w:bottom w:val="none" w:sz="0" w:space="0" w:color="auto"/>
        <w:right w:val="none" w:sz="0" w:space="0" w:color="auto"/>
      </w:divBdr>
      <w:divsChild>
        <w:div w:id="979773805">
          <w:marLeft w:val="547"/>
          <w:marRight w:val="0"/>
          <w:marTop w:val="0"/>
          <w:marBottom w:val="0"/>
          <w:divBdr>
            <w:top w:val="none" w:sz="0" w:space="0" w:color="auto"/>
            <w:left w:val="none" w:sz="0" w:space="0" w:color="auto"/>
            <w:bottom w:val="none" w:sz="0" w:space="0" w:color="auto"/>
            <w:right w:val="none" w:sz="0" w:space="0" w:color="auto"/>
          </w:divBdr>
        </w:div>
        <w:div w:id="1191454162">
          <w:marLeft w:val="547"/>
          <w:marRight w:val="0"/>
          <w:marTop w:val="0"/>
          <w:marBottom w:val="0"/>
          <w:divBdr>
            <w:top w:val="none" w:sz="0" w:space="0" w:color="auto"/>
            <w:left w:val="none" w:sz="0" w:space="0" w:color="auto"/>
            <w:bottom w:val="none" w:sz="0" w:space="0" w:color="auto"/>
            <w:right w:val="none" w:sz="0" w:space="0" w:color="auto"/>
          </w:divBdr>
        </w:div>
        <w:div w:id="1840654076">
          <w:marLeft w:val="547"/>
          <w:marRight w:val="0"/>
          <w:marTop w:val="0"/>
          <w:marBottom w:val="0"/>
          <w:divBdr>
            <w:top w:val="none" w:sz="0" w:space="0" w:color="auto"/>
            <w:left w:val="none" w:sz="0" w:space="0" w:color="auto"/>
            <w:bottom w:val="none" w:sz="0" w:space="0" w:color="auto"/>
            <w:right w:val="none" w:sz="0" w:space="0" w:color="auto"/>
          </w:divBdr>
        </w:div>
        <w:div w:id="1132402399">
          <w:marLeft w:val="547"/>
          <w:marRight w:val="0"/>
          <w:marTop w:val="0"/>
          <w:marBottom w:val="0"/>
          <w:divBdr>
            <w:top w:val="none" w:sz="0" w:space="0" w:color="auto"/>
            <w:left w:val="none" w:sz="0" w:space="0" w:color="auto"/>
            <w:bottom w:val="none" w:sz="0" w:space="0" w:color="auto"/>
            <w:right w:val="none" w:sz="0" w:space="0" w:color="auto"/>
          </w:divBdr>
        </w:div>
        <w:div w:id="1084716456">
          <w:marLeft w:val="547"/>
          <w:marRight w:val="0"/>
          <w:marTop w:val="0"/>
          <w:marBottom w:val="0"/>
          <w:divBdr>
            <w:top w:val="none" w:sz="0" w:space="0" w:color="auto"/>
            <w:left w:val="none" w:sz="0" w:space="0" w:color="auto"/>
            <w:bottom w:val="none" w:sz="0" w:space="0" w:color="auto"/>
            <w:right w:val="none" w:sz="0" w:space="0" w:color="auto"/>
          </w:divBdr>
        </w:div>
        <w:div w:id="1924680302">
          <w:marLeft w:val="547"/>
          <w:marRight w:val="0"/>
          <w:marTop w:val="0"/>
          <w:marBottom w:val="0"/>
          <w:divBdr>
            <w:top w:val="none" w:sz="0" w:space="0" w:color="auto"/>
            <w:left w:val="none" w:sz="0" w:space="0" w:color="auto"/>
            <w:bottom w:val="none" w:sz="0" w:space="0" w:color="auto"/>
            <w:right w:val="none" w:sz="0" w:space="0" w:color="auto"/>
          </w:divBdr>
        </w:div>
        <w:div w:id="1321350639">
          <w:marLeft w:val="547"/>
          <w:marRight w:val="0"/>
          <w:marTop w:val="0"/>
          <w:marBottom w:val="0"/>
          <w:divBdr>
            <w:top w:val="none" w:sz="0" w:space="0" w:color="auto"/>
            <w:left w:val="none" w:sz="0" w:space="0" w:color="auto"/>
            <w:bottom w:val="none" w:sz="0" w:space="0" w:color="auto"/>
            <w:right w:val="none" w:sz="0" w:space="0" w:color="auto"/>
          </w:divBdr>
        </w:div>
      </w:divsChild>
    </w:div>
    <w:div w:id="521743099">
      <w:bodyDiv w:val="1"/>
      <w:marLeft w:val="0"/>
      <w:marRight w:val="0"/>
      <w:marTop w:val="0"/>
      <w:marBottom w:val="0"/>
      <w:divBdr>
        <w:top w:val="none" w:sz="0" w:space="0" w:color="auto"/>
        <w:left w:val="none" w:sz="0" w:space="0" w:color="auto"/>
        <w:bottom w:val="none" w:sz="0" w:space="0" w:color="auto"/>
        <w:right w:val="none" w:sz="0" w:space="0" w:color="auto"/>
      </w:divBdr>
    </w:div>
    <w:div w:id="666328669">
      <w:bodyDiv w:val="1"/>
      <w:marLeft w:val="0"/>
      <w:marRight w:val="0"/>
      <w:marTop w:val="0"/>
      <w:marBottom w:val="0"/>
      <w:divBdr>
        <w:top w:val="none" w:sz="0" w:space="0" w:color="auto"/>
        <w:left w:val="none" w:sz="0" w:space="0" w:color="auto"/>
        <w:bottom w:val="none" w:sz="0" w:space="0" w:color="auto"/>
        <w:right w:val="none" w:sz="0" w:space="0" w:color="auto"/>
      </w:divBdr>
      <w:divsChild>
        <w:div w:id="413671417">
          <w:marLeft w:val="0"/>
          <w:marRight w:val="0"/>
          <w:marTop w:val="0"/>
          <w:marBottom w:val="0"/>
          <w:divBdr>
            <w:top w:val="none" w:sz="0" w:space="0" w:color="auto"/>
            <w:left w:val="none" w:sz="0" w:space="0" w:color="auto"/>
            <w:bottom w:val="none" w:sz="0" w:space="0" w:color="auto"/>
            <w:right w:val="none" w:sz="0" w:space="0" w:color="auto"/>
          </w:divBdr>
          <w:divsChild>
            <w:div w:id="1600872715">
              <w:marLeft w:val="0"/>
              <w:marRight w:val="0"/>
              <w:marTop w:val="0"/>
              <w:marBottom w:val="0"/>
              <w:divBdr>
                <w:top w:val="none" w:sz="0" w:space="0" w:color="auto"/>
                <w:left w:val="none" w:sz="0" w:space="0" w:color="auto"/>
                <w:bottom w:val="none" w:sz="0" w:space="0" w:color="auto"/>
                <w:right w:val="none" w:sz="0" w:space="0" w:color="auto"/>
              </w:divBdr>
              <w:divsChild>
                <w:div w:id="1610312617">
                  <w:marLeft w:val="0"/>
                  <w:marRight w:val="0"/>
                  <w:marTop w:val="0"/>
                  <w:marBottom w:val="0"/>
                  <w:divBdr>
                    <w:top w:val="none" w:sz="0" w:space="0" w:color="auto"/>
                    <w:left w:val="none" w:sz="0" w:space="0" w:color="auto"/>
                    <w:bottom w:val="none" w:sz="0" w:space="0" w:color="auto"/>
                    <w:right w:val="none" w:sz="0" w:space="0" w:color="auto"/>
                  </w:divBdr>
                  <w:divsChild>
                    <w:div w:id="2033650905">
                      <w:marLeft w:val="0"/>
                      <w:marRight w:val="0"/>
                      <w:marTop w:val="0"/>
                      <w:marBottom w:val="0"/>
                      <w:divBdr>
                        <w:top w:val="none" w:sz="0" w:space="0" w:color="auto"/>
                        <w:left w:val="none" w:sz="0" w:space="0" w:color="auto"/>
                        <w:bottom w:val="none" w:sz="0" w:space="0" w:color="auto"/>
                        <w:right w:val="none" w:sz="0" w:space="0" w:color="auto"/>
                      </w:divBdr>
                      <w:divsChild>
                        <w:div w:id="29575566">
                          <w:marLeft w:val="0"/>
                          <w:marRight w:val="0"/>
                          <w:marTop w:val="0"/>
                          <w:marBottom w:val="0"/>
                          <w:divBdr>
                            <w:top w:val="none" w:sz="0" w:space="0" w:color="auto"/>
                            <w:left w:val="none" w:sz="0" w:space="0" w:color="auto"/>
                            <w:bottom w:val="none" w:sz="0" w:space="0" w:color="auto"/>
                            <w:right w:val="none" w:sz="0" w:space="0" w:color="auto"/>
                          </w:divBdr>
                          <w:divsChild>
                            <w:div w:id="1895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145134">
      <w:bodyDiv w:val="1"/>
      <w:marLeft w:val="0"/>
      <w:marRight w:val="0"/>
      <w:marTop w:val="0"/>
      <w:marBottom w:val="0"/>
      <w:divBdr>
        <w:top w:val="none" w:sz="0" w:space="0" w:color="auto"/>
        <w:left w:val="none" w:sz="0" w:space="0" w:color="auto"/>
        <w:bottom w:val="none" w:sz="0" w:space="0" w:color="auto"/>
        <w:right w:val="none" w:sz="0" w:space="0" w:color="auto"/>
      </w:divBdr>
    </w:div>
    <w:div w:id="962465673">
      <w:bodyDiv w:val="1"/>
      <w:marLeft w:val="0"/>
      <w:marRight w:val="0"/>
      <w:marTop w:val="0"/>
      <w:marBottom w:val="0"/>
      <w:divBdr>
        <w:top w:val="none" w:sz="0" w:space="0" w:color="auto"/>
        <w:left w:val="none" w:sz="0" w:space="0" w:color="auto"/>
        <w:bottom w:val="none" w:sz="0" w:space="0" w:color="auto"/>
        <w:right w:val="none" w:sz="0" w:space="0" w:color="auto"/>
      </w:divBdr>
      <w:divsChild>
        <w:div w:id="1918978485">
          <w:marLeft w:val="547"/>
          <w:marRight w:val="0"/>
          <w:marTop w:val="0"/>
          <w:marBottom w:val="0"/>
          <w:divBdr>
            <w:top w:val="none" w:sz="0" w:space="0" w:color="auto"/>
            <w:left w:val="none" w:sz="0" w:space="0" w:color="auto"/>
            <w:bottom w:val="none" w:sz="0" w:space="0" w:color="auto"/>
            <w:right w:val="none" w:sz="0" w:space="0" w:color="auto"/>
          </w:divBdr>
        </w:div>
        <w:div w:id="799689868">
          <w:marLeft w:val="547"/>
          <w:marRight w:val="0"/>
          <w:marTop w:val="0"/>
          <w:marBottom w:val="0"/>
          <w:divBdr>
            <w:top w:val="none" w:sz="0" w:space="0" w:color="auto"/>
            <w:left w:val="none" w:sz="0" w:space="0" w:color="auto"/>
            <w:bottom w:val="none" w:sz="0" w:space="0" w:color="auto"/>
            <w:right w:val="none" w:sz="0" w:space="0" w:color="auto"/>
          </w:divBdr>
        </w:div>
        <w:div w:id="1507213229">
          <w:marLeft w:val="547"/>
          <w:marRight w:val="0"/>
          <w:marTop w:val="0"/>
          <w:marBottom w:val="0"/>
          <w:divBdr>
            <w:top w:val="none" w:sz="0" w:space="0" w:color="auto"/>
            <w:left w:val="none" w:sz="0" w:space="0" w:color="auto"/>
            <w:bottom w:val="none" w:sz="0" w:space="0" w:color="auto"/>
            <w:right w:val="none" w:sz="0" w:space="0" w:color="auto"/>
          </w:divBdr>
        </w:div>
        <w:div w:id="1062171229">
          <w:marLeft w:val="547"/>
          <w:marRight w:val="0"/>
          <w:marTop w:val="0"/>
          <w:marBottom w:val="0"/>
          <w:divBdr>
            <w:top w:val="none" w:sz="0" w:space="0" w:color="auto"/>
            <w:left w:val="none" w:sz="0" w:space="0" w:color="auto"/>
            <w:bottom w:val="none" w:sz="0" w:space="0" w:color="auto"/>
            <w:right w:val="none" w:sz="0" w:space="0" w:color="auto"/>
          </w:divBdr>
        </w:div>
        <w:div w:id="667053966">
          <w:marLeft w:val="547"/>
          <w:marRight w:val="0"/>
          <w:marTop w:val="0"/>
          <w:marBottom w:val="0"/>
          <w:divBdr>
            <w:top w:val="none" w:sz="0" w:space="0" w:color="auto"/>
            <w:left w:val="none" w:sz="0" w:space="0" w:color="auto"/>
            <w:bottom w:val="none" w:sz="0" w:space="0" w:color="auto"/>
            <w:right w:val="none" w:sz="0" w:space="0" w:color="auto"/>
          </w:divBdr>
        </w:div>
      </w:divsChild>
    </w:div>
    <w:div w:id="1172793327">
      <w:bodyDiv w:val="1"/>
      <w:marLeft w:val="0"/>
      <w:marRight w:val="0"/>
      <w:marTop w:val="0"/>
      <w:marBottom w:val="0"/>
      <w:divBdr>
        <w:top w:val="none" w:sz="0" w:space="0" w:color="auto"/>
        <w:left w:val="none" w:sz="0" w:space="0" w:color="auto"/>
        <w:bottom w:val="none" w:sz="0" w:space="0" w:color="auto"/>
        <w:right w:val="none" w:sz="0" w:space="0" w:color="auto"/>
      </w:divBdr>
    </w:div>
    <w:div w:id="1423338331">
      <w:bodyDiv w:val="1"/>
      <w:marLeft w:val="0"/>
      <w:marRight w:val="0"/>
      <w:marTop w:val="0"/>
      <w:marBottom w:val="0"/>
      <w:divBdr>
        <w:top w:val="none" w:sz="0" w:space="0" w:color="auto"/>
        <w:left w:val="none" w:sz="0" w:space="0" w:color="auto"/>
        <w:bottom w:val="none" w:sz="0" w:space="0" w:color="auto"/>
        <w:right w:val="none" w:sz="0" w:space="0" w:color="auto"/>
      </w:divBdr>
    </w:div>
    <w:div w:id="1454253252">
      <w:bodyDiv w:val="1"/>
      <w:marLeft w:val="0"/>
      <w:marRight w:val="0"/>
      <w:marTop w:val="0"/>
      <w:marBottom w:val="0"/>
      <w:divBdr>
        <w:top w:val="none" w:sz="0" w:space="0" w:color="auto"/>
        <w:left w:val="none" w:sz="0" w:space="0" w:color="auto"/>
        <w:bottom w:val="none" w:sz="0" w:space="0" w:color="auto"/>
        <w:right w:val="none" w:sz="0" w:space="0" w:color="auto"/>
      </w:divBdr>
    </w:div>
    <w:div w:id="1669018419">
      <w:bodyDiv w:val="1"/>
      <w:marLeft w:val="0"/>
      <w:marRight w:val="0"/>
      <w:marTop w:val="0"/>
      <w:marBottom w:val="0"/>
      <w:divBdr>
        <w:top w:val="none" w:sz="0" w:space="0" w:color="auto"/>
        <w:left w:val="none" w:sz="0" w:space="0" w:color="auto"/>
        <w:bottom w:val="none" w:sz="0" w:space="0" w:color="auto"/>
        <w:right w:val="none" w:sz="0" w:space="0" w:color="auto"/>
      </w:divBdr>
    </w:div>
    <w:div w:id="1846095340">
      <w:bodyDiv w:val="1"/>
      <w:marLeft w:val="0"/>
      <w:marRight w:val="0"/>
      <w:marTop w:val="0"/>
      <w:marBottom w:val="0"/>
      <w:divBdr>
        <w:top w:val="none" w:sz="0" w:space="0" w:color="auto"/>
        <w:left w:val="none" w:sz="0" w:space="0" w:color="auto"/>
        <w:bottom w:val="none" w:sz="0" w:space="0" w:color="auto"/>
        <w:right w:val="none" w:sz="0" w:space="0" w:color="auto"/>
      </w:divBdr>
    </w:div>
    <w:div w:id="1909411777">
      <w:bodyDiv w:val="1"/>
      <w:marLeft w:val="0"/>
      <w:marRight w:val="0"/>
      <w:marTop w:val="0"/>
      <w:marBottom w:val="0"/>
      <w:divBdr>
        <w:top w:val="none" w:sz="0" w:space="0" w:color="auto"/>
        <w:left w:val="none" w:sz="0" w:space="0" w:color="auto"/>
        <w:bottom w:val="none" w:sz="0" w:space="0" w:color="auto"/>
        <w:right w:val="none" w:sz="0" w:space="0" w:color="auto"/>
      </w:divBdr>
    </w:div>
    <w:div w:id="1997953467">
      <w:bodyDiv w:val="1"/>
      <w:marLeft w:val="0"/>
      <w:marRight w:val="0"/>
      <w:marTop w:val="0"/>
      <w:marBottom w:val="0"/>
      <w:divBdr>
        <w:top w:val="none" w:sz="0" w:space="0" w:color="auto"/>
        <w:left w:val="none" w:sz="0" w:space="0" w:color="auto"/>
        <w:bottom w:val="none" w:sz="0" w:space="0" w:color="auto"/>
        <w:right w:val="none" w:sz="0" w:space="0" w:color="auto"/>
      </w:divBdr>
    </w:div>
    <w:div w:id="20102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fao.org/nr/water/aquastat/water_use/index.s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ri.org/food/indicators"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reytar@wri.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worldresourcesreport.org" TargetMode="External"/><Relationship Id="rId23" Type="http://schemas.openxmlformats.org/officeDocument/2006/relationships/hyperlink" Target="http://www.oecd.org/tad/env/indicators" TargetMode="External"/><Relationship Id="rId10" Type="http://schemas.openxmlformats.org/officeDocument/2006/relationships/endnotes" Target="endnotes.xml"/><Relationship Id="rId19" Type="http://schemas.openxmlformats.org/officeDocument/2006/relationships/hyperlink" Target="http://www.wri.org/food/indicators"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worldresourcesreport.org" TargetMode="External"/><Relationship Id="rId22" Type="http://schemas.openxmlformats.org/officeDocument/2006/relationships/hyperlink" Target="http://www.oecd.org/tad/env/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E2E85-1454-45C0-AE25-311E01113415}">
  <ds:schemaRefs>
    <ds:schemaRef ds:uri="http://schemas.openxmlformats.org/officeDocument/2006/bibliography"/>
  </ds:schemaRefs>
</ds:datastoreItem>
</file>

<file path=customXml/itemProps2.xml><?xml version="1.0" encoding="utf-8"?>
<ds:datastoreItem xmlns:ds="http://schemas.openxmlformats.org/officeDocument/2006/customXml" ds:itemID="{7E0BCCF2-B7EF-4A24-925B-077BCD0F74EB}">
  <ds:schemaRefs>
    <ds:schemaRef ds:uri="http://schemas.openxmlformats.org/officeDocument/2006/bibliography"/>
  </ds:schemaRefs>
</ds:datastoreItem>
</file>

<file path=customXml/itemProps3.xml><?xml version="1.0" encoding="utf-8"?>
<ds:datastoreItem xmlns:ds="http://schemas.openxmlformats.org/officeDocument/2006/customXml" ds:itemID="{E3A83D1A-F370-4164-8C52-5BEF9C2B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6950</Words>
  <Characters>42396</Characters>
  <Application>Microsoft Office Word</Application>
  <DocSecurity>4</DocSecurity>
  <Lines>353</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49248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Hanson</dc:creator>
  <cp:lastModifiedBy>Gitte Bruus</cp:lastModifiedBy>
  <cp:revision>2</cp:revision>
  <cp:lastPrinted>2013-04-18T17:38:00Z</cp:lastPrinted>
  <dcterms:created xsi:type="dcterms:W3CDTF">2015-03-20T10:16:00Z</dcterms:created>
  <dcterms:modified xsi:type="dcterms:W3CDTF">2015-03-20T10:16:00Z</dcterms:modified>
</cp:coreProperties>
</file>